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292</w:t>
      </w:r>
    </w:p>
    <w:p>
      <w:r>
        <w:t>Bundesgericht (BGE), 2007-01-01, DE</w:t>
      </w:r>
    </w:p>
    <w:p>
      <w:r>
        <w:rPr>
          <w:b/>
        </w:rPr>
        <w:t xml:space="preserve">Quelle: </w:t>
      </w:r>
      <w:r>
        <w:t>https://mcp.opencaselaw.ch/entscheid/bge_BGE_133_II_292</w:t>
      </w:r>
    </w:p>
    <w:p>
      <w:r>
        <w:t>FR: ATF 133 II 292</w:t>
      </w:r>
    </w:p>
    <w:p>
      <w:r>
        <w:t>IT: DTF 133 II 292</w:t>
      </w:r>
    </w:p>
    <w:p>
      <w:pPr>
        <w:pStyle w:val="Heading2"/>
      </w:pPr>
      <w:r>
        <w:t>Regeste</w:t>
      </w:r>
    </w:p>
    <w:p>
      <w:r>
        <w:t>Regeste Art. 15, 19 und 23 USG; Art. 40 Abs. 3 LSV; Lärmschutz; Betrieb einer Sportanlage. Bei der Beurteilung der Lärmemissionen sind alle Geräusche in die Betrachtung miteinzubeziehen, die durch die bestimmungsgemässe Nutzung der Anlage verursacht werden (E. 3.1). Beurteilungskriterien für den von einer Sportanlage ausgehenden Lärm bei Fehlen von Belastungswerten (Bestätigung der Rechtsprechung; E. 3.3). Beurteilung der Lärmsituation unter Beizug der deutschen Sportanlagenlärmschutzverordnung (18. Verordnung zur Durchführung des Bundes-Immissionsschutzgesetzes vom 18. Juli 1991 [18. BImSchV]) durch das BAFU (E. 3.5). Unterschiede zwischen der 18. BImSchV und der schweizerischen Regelung (E. 4.1 und 4.2). Die Verordnung kann dem Richter als Entscheidhilfe dienen, soweit deren Kriterien mit dem schweizerischen Lärmschutzsystem vereinbar sind. Das BAFU hat Parallelen gesucht und einen gangbaren Weg aufgezeigt (E. 4.3). Aufgrund der heute zur Diskussion stehenden Betriebszeiten und verschiedenen vorgeschlagenen Lärmschutzmassnahmen lässt sich die Bundesrechtskonformität des Projekts nicht abschliessend beurteilen. Das Verwaltungsgericht hat bei seinem neuen Entscheid darzulegen, ob und inwiefern es bei seiner Beurteilung auf die 18. BImSchV abstellt (E. 4.4).</w:t>
      </w:r>
    </w:p>
    <w:p>
      <w:r>
        <w:t>Regeste Art. 15, 19 et 23 LPE; art. 40 al. 3 OPB; protection contre le bruit; exploitation d'une installation sportive. Lors de l'évaluation des émissions de bruit, il y a lieu de prendre en considération tous les bruits occasionnés par une utilisation conforme à la destination de l'installation (consid. 3.1). Critères pour l'appréciation du bruit émanant d'une installation sportive, vu l'inexistence de valeurs limites (confirmation de la jurisprudence; consid. 3.3). Evaluation du niveau de bruit par l'OFEV à l'aide de l'ordonnance allemande de protection contre le bruit des installations sportives (18. Verordnung zur Durchführung des Bundes-Immissionsschutzgesetzes vom 18. Juli 1991 [18e BImSchV]) (consid. 3.5). Différences entre la 18e BImSchV et la réglementation suisse (consid. 4.1 et 4.2). L'ordonnance peut faciliter la décision du juge, pour autant que ses critères soient compatibles avec le système suisse de protection contre le bruit. L'OFEV a cherché des parallèles et a mis en évidence une voie possible (consid. 4.3). Au vu des discussions encore actuelles relatives aux horaires d'exploitation et aux différentes mesures de protection contre le bruit proposées, la conformité du projet au droit fédéral ne peut pas être examinée définitivement. Le Tribunal administratif devra indiquer dans son nouvel arrêt, si et dans quelle mesure, son appréciation se fonde sur la 18e BImSchV (consid. 4.4).</w:t>
      </w:r>
    </w:p>
    <w:p>
      <w:r>
        <w:t>Regesto Art. 15, 19 e 23 LPAmb; art. 40 cpv. 3 OIF; protezione contro l'inquinamento fonico; esercizio di un impianto sportivo. Nell'ambito della valutazione delle emissioni, occorre prendere in considerazione tutti i rumori provocati da un'utilizzazione conforme alla destinazione dell'impianto (consid. 3.1). Criteri di valutazione del rumore causato da un impianto sportivo in mancanza di valori limite d'esposizione (conferma della giurisprudenza; consid. 3.3). Valutazione della situazione fonica da parte dell'UFAM facendo capo all'ordinanza tedesca sulla protezione contro il rumore degli impianti sportivi (18. Verordnung zur Durchführung des Bundes-Immissionsschutzgesetzes vom 18. Juli 1991 [18a BImSchV]) (consid. 3.5). Differenze tra la 18a BImSchV e la regolamentazione svizzera (consid. 4.1 e 4.2). L'ordinanza può essere di ausilio per la decisione del giudice nella misura in cui i criteri della stessa siano compatibili con il sistema svizzero di protezione contro il rumore. L'UFAM ha cercato dei paralleli ed ha indicato una possibile via (consid. 4.3). Sulla base degli orari di esercizio e delle diverse proposte di provvedimenti di protezione fonica attualmente in discussione, la conformità del progetto al diritto federale non può essere valutata definitivamente. Il Tribunale amministrativo dovrà esporre nella sua nuova decisione se e in che misura la sua valutazione si fondi sulla 18a BImSchV (consid. 4.4).</w:t>
      </w:r>
    </w:p>
    <w:p>
      <w:pPr>
        <w:pStyle w:val="Heading2"/>
      </w:pPr>
      <w:r>
        <w:t>Erwägungen</w:t>
      </w:r>
    </w:p>
    <w:p>
      <w:r>
        <w:rPr>
          <w:b/>
        </w:rPr>
        <w:t>E. 3.1</w:t>
      </w:r>
    </w:p>
    <w:p>
      <w:r>
        <w:t>Die Lärmschutzverordnung vom 15. Dezember 1986 (LSV; SR 814.41) soll die Bevölkerung vor schädlichem und lästigem Lärm schützen, der beim Betrieb neuer und bestehender Anlagen nach Art. 7 USG (SR 814.01) erzeugt wird (Art. 1 Abs. 1 und Abs. 2 lit. a LSV). Von diesem Schutzzweck her erscheint es angemessen, alle BGE 133 II 292 S. 296 einem Betrieb zurechenbaren Lärmemissionen in die Betrachtung miteinzubeziehen, d.h. alle Geräusche, die durch die bestimmungsgemässe Nutzung der Anlage verursacht werden ( BGE 123 II 74 E. 3b S. 79), unabhängig davon, ob sie innerhalb oder ausserhalb des Gebäudes bzw. des Betriebsareals verursacht werden ( BGE 123 II 325 E. 4a/bb S. 328 mit zahlreichen Hinweisen). Über den technischen Eigenlärm hinaus ist einer Sportanlage also derjenige Lärm zuzurechnen, der von ihren Benützern bei bestimmungsgemässer Nutzung innerhalb und ausserhalb der Anlage erzeugt wird. Dazu gehört der bei der Sportausübung selber erzeugte Lärm. Auch der Schall von Lautsprecheranlagen und ähnlichen Einrichtungen ist zum Betriebslärm zu rechnen, genauso wie der von Trainern, Sportlern und Zuschauern durch Rufe, Schreie und Pfiffe etc. verursachte Lärm (siehe zum Ganzen THOMAS WIDMER DREIFUSS, Planung und Realisierung von Sportanlagen: raumplanerische, baurechtliche und umweltrechtliche Aspekte beim Bau und der Sanierung von Sportanlagen, Diss. Zürich 2002, S. 326 ff.).</w:t>
      </w:r>
    </w:p>
    <w:p>
      <w:r>
        <w:rPr>
          <w:b/>
        </w:rPr>
        <w:t>E. 3.2</w:t>
      </w:r>
    </w:p>
    <w:p>
      <w:r>
        <w:t>Die LSV enthält jedoch nicht für alle Lärmarten Belastungsgrenzwerte. Solche fehlen insbesondere für so genannten "untechnischen" Alltagslärm, wie er Sportanlagen immanent ist (WIDMER DREIFUSS, a.a.O., S. 332). Während der Schall als physikalische Grösse exakt messbar ist, ist dessen unerwünschte Auswirkung - der Lärm - nicht messbar, sondern wird nach den Reaktionen der Betroffenen beurteilt. Für einige häufige, oft als besonders störend empfundene Schall- bzw. Lärmquellen (Strassenverkehr, Regionalflughäfen und Flugfelder, Industrie- und Gewerbebetriebe, Schiessanlagen) hat der Bundesrat gestützt auf Art. 13 Abs. 1 USG in den Anhängen 3 bis 7 der LSV mit den Belastungsgrenzwerten (Planungs-, Immissionsgrenz- und Alarmwerte; Art. 2 Abs. 5 LSV ) objektive Beurteilungskriterien aufgestellt, die auf die durchschnittliche Reaktion normal lärmempfindlicher Personen abgestützt sind (Urteil 1A.282/1993 vom 1. Dezember 1994, E. 3b, publ. in: URP 1995 S. 31 ff.).</w:t>
      </w:r>
    </w:p>
    <w:p>
      <w:r>
        <w:rPr>
          <w:b/>
        </w:rPr>
        <w:t>E. 3.3</w:t>
      </w:r>
    </w:p>
    <w:p>
      <w:r>
        <w:t>Fehlen Belastungsgrenzwerte, so beurteilt die Vollzugsbehörde die Lärmimmissionen nach Art. 15 USG , unter Berücksichtigung der Art. 19 und 23 USG ( Art. 40 Abs. 3 LSV ; BGE 126 II 300 E. 4c/aa S. 307; BGE 123 II 74 E. 4a und b S. 82 f.; BGE 118 Ib 590 E. 3b S. 596). Nach Art. 15 USG sind die Immissionsgrenzwerte für Lärm so festzulegen, dass nach dem Stand der Wissenschaft oder der Erfahrung Immissionen unterhalb dieser Werte die Bevölkerung in ihrem BGE 133 II 292 S. 297 Wohlbefinden nicht erheblich stören. Im Rahmen dieser Einzelfallbeurteilung sind der Charakter des Lärms, Zeitpunkt und Häufigkeit seines Auftretens sowie die Lärmempfindlichkeit bzw. Lärmvorbelastung zu berücksichtigen ( BGE 123 II 74 E. 5a S. 86, BGE 123 II 325 E. 4d/bb S. 335; BGE 118 Ib 590 E. 4a S. 598). Dabei ist nicht auf das subjektive Lärmempfinden einzelner Personen abzustellen, sondern eine objektivierte Betrachtung unter Berücksichtigung von Personen mit erhöhter Empfindlichkeit ( Art. 13 Abs. 2 USG ) vorzunehmen ( BGE 126 II 366 E. 2c S. 368, BGE 123 II 300 E. 4c/aa S. 307; BGE 123 II 74 E. 5a S. 86, BGE 123 II 325 E. 4d/bb S. 334; Urteil des Bundesgerichts 1A.282/1993 vom 1. Dezember 1994, E. 4c, publ. in: URP 1995 S. 31). Unter Umständen können fachlich genügend abgestützte ausländische bzw. private Richtlinien eine Entscheidungshilfe bieten, sofern die Kriterien, auf welchen diese Unterlagen beruhen, mit denjenigen des schweizerischen Lärmschutzrechtes vereinbar sind. Als grundsätzlich problematisch muss hingegen die "sinngemässe" Anwendung von Grenzwerten, namentlich der Grenzwerte für Industrie- und Gewerbelärm, beurteilt werden. Belastungsgrenzwerte setzen typisierbare Situationen voraus, die sich auf einfache Weise durch akustische Beschreibungsgrössen zuverlässig erfassen lassen ( BGE 123 II 325 E. 4d/bb S. 334 mit Hinweisen). Für die Beurteilung von Sportlärm bietet sich insbesondere die deutsche Sportanlagenlärmschutzverordnung (Achtzehnte Verordnung zur Durchführung des Bundes-Immissionsschutzgesetzes vom 18. Juli 1991 [18. BImSchV]) an, deren Regelungen diejenigen des deutschen Bundesimmissionsschutzgesetzes ergänzen und den besonderen Charakteristiken von Sportgeräuschen speziell Rechnung tragen (WIDMER DREIFUSS, a.a.O., S. 335; CHRISTOPH ZÄCH/ROBERT WOLF, Kommentar USG, N. 44 zu Art. 15 USG ). Der deutsche Verordnungsgeber hat den Sportlärm in seiner Gesamtheit berücksichtigt und an den bestimmungsgemäss ermittelten Lärmbeurteilungspegeln Korrektive in Form von Zuschlägen angebracht (siehe dazu Ziff. 1.3.2.3 und 2.4 des Anhangs zur BImSchV).</w:t>
      </w:r>
    </w:p>
    <w:p>
      <w:r>
        <w:rPr>
          <w:b/>
        </w:rPr>
        <w:t>E. 3.4</w:t>
      </w:r>
    </w:p>
    <w:p>
      <w:r>
        <w:t>Der vom Verwaltungsgericht beauftragte Experte hat denn bei seiner Beurteilung auch die 18. BImSchV berücksichtigt. Die Vorinstanz stimmt dem Experten darin zu, dass die deutsche Verordnung die Anforderungen an eine geeignete, den Stand der Technik wiedergebende Beurteilungsgrundlage eher erfülle als der Anhang 6 der LSV. BGE 133 II 292 S. 298</w:t>
      </w:r>
    </w:p>
    <w:p>
      <w:r>
        <w:rPr>
          <w:b/>
        </w:rPr>
        <w:t>E. 3.5</w:t>
      </w:r>
    </w:p>
    <w:p>
      <w:r>
        <w:t>Das Bundesamt für Umwelt (BAFU) hält dazu in seiner Stellungnahme fest, die Systematik der 18. BImSchV unterscheide sich von der in der LSV üblicherweise verwendeten Systematik, welche auf jahresdurchschnittliche Beurteilungspegel abstellt, wohingegen sich die deutschen Beurteilungspegel auf sehr kleine Mittelungszeiten beziehen. Zusammen mit den ebenfalls strengen Richtwerten - insbesondere innerhalb der festgelegten Ruhezeiten - würden die Anwohner gestützt auf die deutsche Verordnung einen erheblichen Schutzanspruch erhalten, welcher deutlich über dem sonst üblichen Schutzanspruch vor Lärm in Deutschland liege. Demgegenüber würden den Anwohnern auch Lasten auferlegt: Es gibt eine Regelung für seltene Ereignisse, bei denen die Immissionsrichtwerte um nicht mehr als 10 dB überschritten werden bzw. keinesfalls gewisse Höchstwerte erreichen dürfen. Solche seltenen Ereignisse werden auf 18 Kalendertage pro Jahr beschränkt (siehe Ziff. 1.5 des Anhangs der 18. BImSchV). Die jeweilige Ermittlungsmethode und die Belastungsgrenz- bzw. Richtwerte hängen gemäss Ausführungen des BAFU aufgrund ihres Zweckes und der gemeinsamen Erarbeitung eng miteinander zusammen, weshalb das Bundesamt die Anwendung der Verordnung nur als "ganzes Paket" empfiehlt, also sowohl hinsichtlich der Lärmermittlung wie auch in Bezug auf die Anwendung der Richtwerte. Das BAFU weist indes darauf hin, dass seines Erachtens die Immissionsrichtwerte der 18. BImSchV Richtwerte darstellen und keine Belastungsgrenzwerte. Der deutsche Verordnungsgeber überlasse den Vollzugsbehörden somit einen Ermessensspielraum. Dieser könne u.a. dazu genutzt werden, die Vorbelastung eines Wohngebietes zu berücksichtigen, was in der Schweiz durch die Zuordnung der Lärm-Empfindlichkeitsstufen (ES) geschehe. Weiter gälten die Immissionsrichtwerte gemäss § 1 Abs. 1 der 18. BImSchV für die Errichtung und den Betrieb von neuen Anlagen. Für Betriebe, welche vor Inkrafttreten der Verordnung baurechtlich genehmigt resp. bereits errichtet waren, gälten gemäss § 5 Abs. 4 der 18. BImSchV erhöhte Immissionsrichtwerte. Diese erhöhten Richtwerte entsprächen in ihrer Funktion den Immissionsgrenzwerten nach schweizerischem System, wohingegen die deutschen Immissionsrichtwerte ihrer Funktion nach den schweizerischen Planungswerten gleichzusetzen seien.</w:t>
      </w:r>
    </w:p>
    <w:p>
      <w:r>
        <w:rPr>
          <w:b/>
        </w:rPr>
        <w:t>E. 3.5.1</w:t>
      </w:r>
    </w:p>
    <w:p>
      <w:r>
        <w:t>Sodann kenne die 18. BImSchV mehr Empfindlichkeitsstufen als das schweizerische Recht. Das BAFU macht darauf aufmerksam, dass bei der Übertragung auf hiesige Verhältnisse deshalb nicht BGE 133 II 292 S. 299 nur auf die Beschreibung der Nutzung in den Wohngebieten abzustellen sei. Vielmehr sei sowohl die Praxis bei der Ausscheidung bzw. Bezeichnung solcher Gebiete in Deutschland als auch diejenige bei der schweizerischen ES-Zuordnung zu beachten. Gestützt auf diese Überlegungen empfiehlt das BAFU, die Werte für die allgemeinen Wohngebiete und Kleinsiedlungsgebiete (§ 2 Abs. 2 Ziff. 3 der 18. BImSchV) als massgebende Richtwerte für die ES II anzuwenden. Die Werte für die reinen Wohngebiete in Deutschland (§ 2 Abs. 2 Ziff. 4 der 18. BImSchV) müssten als Zwischenstufe zwischen der ES I und II betrachtet werden. Das BAFU erstellt dazu ein Beurteilungsschema und leitet in Anlehnung an die 18. BImSchV Richtwerte ab, welche in ihrer Funktion den schweizerischen Planungs- und Immissionsgrenzwerten entsprechen sollen.</w:t>
      </w:r>
    </w:p>
    <w:p>
      <w:r>
        <w:rPr>
          <w:b/>
        </w:rPr>
        <w:t>E. 3.5.2</w:t>
      </w:r>
    </w:p>
    <w:p>
      <w:r>
        <w:t>Auf diese Grundlagen abstellend, kommt das BAFU zum Schluss, das Lärmgutachten der EMPA vom 27. April 2005 und die Ergänzungen vom 13. April 2006 würden den Anforderungen der 18. BImSchV nicht gerecht; sie seien für die Beurteilung des Projekts unvollständig. Demgegenüber entspreche das von den privaten Beschwerdeführern beim Lärmkontor in Hamburg neu in Auftrag gegebene Gutachten der deutschen Verordnung und lasse eine störungsgerechte Beurteilung der Situation im Prinzip zu. Die Quellenwerte, welche der Lärmkontor seinen Berechnungen zu Grunde gelegt habe, könnten im vorliegenden Fall als gute Ausgangswerte bezeichnet werden. Hinsichtlich der Beurteilung kurzzeitiger Geräuschspitzen könne zudem auf die Messungen der EMPA abgestellt werden. Das BAFU zieht darum für seine Beurteilung beide Gutachten bei, was ihm seines Erachtens eine störungsgerechte Beurteilung der Lärmsituation erlaubt. Nach seinen neuen Berechnungen wären folgende Benützungszeiten der Anlage "Ländli" möglich: - Montag-Freitag von 6.00-8.00 Uhr (morgendliche Ruhezeit): Schulsport ist möglich. - Montag-Freitag von 8.00-20.00 Uhr: jeglicher Trainingsbetrieb, Ligaspiele ohne Zuschauerrampe sowie Turntraining mit Musik sind BGE 133 II 292 S. 300 möglich. Eine Mittagspause muss nicht eingelegt werden. - Montag-Freitag von 20.00-22.00 Uhr: jeglicher Trainingsbetrieb, Ligaspiele ohne Zuschauerrampe sowie Turntraining mit Musik sind möglich. - Samstag von 8.00 Uhr bis 20.00 Uhr: jeglicher Trainingsbetrieb, zwei Ligaspiele mit Zuschauerrampe sowie Turntraining mit Musik sind möglich. Der Einsatz der mobilen Beschallungsanlage mit plombierter Pegelbegrenzung ist ebenfalls möglich. Eine Mittagspause muss nicht eingelegt werden. - Samstag von 20.00-22.00 Uhr: jeglicher Trainingsbetrieb, Ligaspiele ohne Zuschauerrampe sowie Turntraining mit Musik sind möglich. - Sonntag: Eine Nutzung ist grundsätzlich nicht ausgeschlossen, müsste sich jedoch auf maximal vier Stunden beschränken. Zusätzlich hält das BAFU fest, kurzzeitige Geräuschspitzen während dieses Betriebs würden gemäss der Messungen der EMPA die einzuhaltenden Immissionsgrenzwerte nicht überschreiten. Als so genannte "seltene Ereignisse" könnten insgesamt an 18 Kalendertagen sportliche oder nicht sportliche Grossanlässe (z.B. auch weitere Ligaspiele mit Zuschauerrampe) unter Einhaltung der speziell dafür vorgesehenen Immissionsgrenzwerte stattfinden. Die Berechnungen des BAFU lassen demzufolge einerseits eine grosszügigere Nutzung der Anlage zu als die vom Verwaltungsgericht errechnete. Andererseits lässt das BAFU unter der Woche und samstags von 20.00-22.00 Uhr bei Ligaspielen keine Zuschauerrampe zu. Nach Auffassung des BAFU kommt Art. 11 Abs. 3 USG (die verschärfte Emissionsbegrenzung) als Grundlage für die vom Verwaltungsgericht verfügten Einschränkungen nicht in Frage. Indessen seien strengere Betriebszeiten im Rahmen des Vorsorgeprinzips gestützt auf Art. 11 Abs. 2 USG i.V.m. Art. 8 Abs. 1 LSV allenfalls zu rechtfertigen. Da eine Prüfung unter diesem Aspekt bis anhin nicht stattgefunden hat, lässt das BAFU diese Frage offen.</w:t>
      </w:r>
    </w:p>
    <w:p>
      <w:r>
        <w:rPr>
          <w:b/>
        </w:rPr>
        <w:t>E. 3.6</w:t>
      </w:r>
    </w:p>
    <w:p>
      <w:r>
        <w:t>Die Gemeinde wendet sich grundsätzlich gegen die Anwendung der 18. BImSchV. Es sei nicht angängig, die Systematik der deutschen Verordnung derjenigen des schweizerischen Rechts anzugleichen. Insbesondere kenne das USG weder spezielle Ruhezeiten noch Spezialwerte für Sonn- und Feiertage. Sodann stellt sie Detailfragen zu der vom BAFU vorgeschlagenen Nutzungsregelung.</w:t>
      </w:r>
    </w:p>
    <w:p>
      <w:r>
        <w:rPr>
          <w:b/>
        </w:rPr>
        <w:t>E. 3.7</w:t>
      </w:r>
    </w:p>
    <w:p>
      <w:r>
        <w:t>Die privaten Beschwerdeführer qualifizieren das Vorhaben als Neuanlage. Zudem erachten sie die Auslegung der 18. BImSchV durch das BAFU in verschiedener Hinsicht als fehlerhaft.</w:t>
      </w:r>
    </w:p>
    <w:p>
      <w:r>
        <w:rPr>
          <w:b/>
        </w:rPr>
        <w:t>E. 3.8</w:t>
      </w:r>
    </w:p>
    <w:p>
      <w:r>
        <w:t>Nachfolgend ist zu prüfen, ob das vom BAFU vorgeschlagene Vorgehen zur Klärung der Lärmsituation sachgerecht und rechtmässig ist und welche Konsequenzen sich gegebenenfalls daraus ergeben. BGE 133 II 292 S. 301</w:t>
      </w:r>
    </w:p>
    <w:p>
      <w:r>
        <w:rPr>
          <w:b/>
        </w:rPr>
        <w:t>E. 4.1</w:t>
      </w:r>
    </w:p>
    <w:p>
      <w:r>
        <w:t>Die 18. BImSchV stellt zum Schutz der Allgemeinheit und der Nachbarschaft vor schädlichen Umwelteinwirkungen Anforderungen an die Errichtung und den Betrieb (immissionsschutzrechtlich) nicht genehmigungsbedürftiger Sportanlagen. Zu diesem Zweck konkretisieren die Richtwerte verbindlich die Zumutbarkeit (so das deutsche Bundesverwaltungsgericht [BVwGer] in der Neuen Zeitschrift für Verwaltungsrecht [NVwZ] 2000 S. 1050, 1051; BVerwG, NVwZ 1995 S. 993; NVwZ 2000 S. 550). Umstritten ist, ob die Richtwerte zugleich eine absolute Zumutbarkeitsschwelle markieren, die unter keinen Umständen unterschritten werden darf (GERD KETTELER, Die Sportanlagenlärmschutzverordnung in Rechtsprechung und behördlicher Praxis, NVwZ 2002 S. 1072 mit Hinweisen). Die von den privaten Beschwerdeführern gerügte Feststellung des Bundesamtes, wonach der deutsche Gesetzgeber den Vollzugsbehörden bei der Anwendung der Richtwerte einen Ermessensspielraum zugestehe, ist nicht entscheidrelevant; das BAFU hat die vorgegebenen Richtwerte bei seiner Beurteilung des Sportlärms herangezogen, was grundsätzlich nicht zu beanstanden ist.</w:t>
      </w:r>
    </w:p>
    <w:p>
      <w:r>
        <w:rPr>
          <w:b/>
        </w:rPr>
        <w:t>E. 4.2</w:t>
      </w:r>
    </w:p>
    <w:p>
      <w:r>
        <w:t>Weiter erscheint die Interpretation von § 5 Abs. 4 der 18. BImSchV, wie sie das BAFU vorgenommen hat, missverständlich. Gemäss der zitierten Norm soll die zuständige Behörde bei Sportanlagen, die vor Inkrafttreten dieser Verordnung baurechtlich genehmigt oder - soweit eine Baugenehmigung nicht erforderlich war - errichtet waren, von einer Festsetzung von Betriebszeiten absehen, wenn die Immissionsrichtwerte an den in § 2 Abs. 2 genannten Immissionsorten jeweils um weniger als 5 dB(A) überschritten werden; dies gilt nicht an den in § 2 Abs. 2 Nr. 5 genannten Immissionsorten. Indes bedeutet dies nichts anderes, als dass bei einer Lärmüberschreitung von mehr als 5 dB(A) Betriebszeiten festgelegt werden sollen, welche den Immissionen Rechnung tragen. Gemäss deutscher Praxis bezieht sich die Privilegierung von Altanlagen nur auf die Festsetzung von Betriebszeiten und beinhaltet keine generelle Erhöhung der Richtwerte, so dass alle anderen (technischen, baulichen, organisatorischen) Massnahmen, die der Einhaltung der Immissionsrichtwerte dienen, angeordnet werden können (KETTELER, a.a.O., S. 1074 mit Hinweisen). Grundsätzlich gelten demnach im deutschen Recht bei Altanlagen dieselben Richtwerte wie bei neu erstellten Anlagen. Die Feststellung des BAFU ist dennoch nicht schlechthin falsch, wenn es davon ausgeht, bei Altanlagen gälten um BGE 133 II 292 S. 302</w:t>
      </w:r>
    </w:p>
    <w:p>
      <w:r>
        <w:rPr>
          <w:b/>
        </w:rPr>
        <w:t>E. 4.3</w:t>
      </w:r>
    </w:p>
    <w:p>
      <w:r>
        <w:t>Die Verordnung kann dem Richter als Entscheidhilfe dienen, soweit deren Kriterien mit dem schweizerischen Lärmschutzsystem vereinbar sind. Zu beachten ist dabei konkret, dass das deutsche Recht die Störwirkung von an sich nicht messbaren Faktoren mit einem Korrekturzuschlag von einer bestimmten Anzahl dB(A) auf die technisch ermittelten Werte erfasst. WIDMER DREIFUSS weist denn auch darauf hin, dass das deutsche System die Gefahr bergen könnte, Sportgeräusche zu starr zu beurteilen (WIDMER DREIFUSS, a.a.O., S. 352). Hinzu kommt, dass die 18. BImSchV Ruhezeiten kennt (an Werktagen morgens von 6.00-8.00 Uhr und abends von 20.00-22.00 Uhr; an Sonn- und Feiertagen von 7.00-9.00 Uhr, von 13.00-15.00 Uhr und von 20.00-22.00 Uhr; § 2 Abs. 5 der 18. BImSchV), welche dem schweizerischen System grundsätzlich fremd sind. Indes regelt die LSV wie gesehen den Sportlärm überhaupt nicht, weshalb eine Anlehnung an die deutsche Regelung auch in diesem Bereich möglich ist. Allenfalls lassen sich solche Einschränkungen unter dem Aspekt des Vorsorgeprinzips gemäss Art. 11 Abs. 2 USG begründen. Das BAFU hat nach Parallelen gesucht und einen gangbaren Weg aufgezeigt. Insbesondere scheint die von ihm vorgenommene tabellarische Umdeutung der deutschen Lärmzuteilung je nach besonderer Wohnsituation auf die schweizerischen Empfindlichkeitsstufen als praktikabel. Indes geht aus seiner Stellungnahme nicht mit hinreichender Deutlichkeit hervor, in welcher Hinsicht die Lärmmessungen des vom Gericht beauftragten Experten fehlerhaft sein sollen. Ebenso wenig zeigt das angefochtene Urteil auf, inwiefern die deutschen Richtwerte an die schweizerischen Planungs-, resp. Immissionsgrenzwerte angepasst wurden. Auch das Gutachten der EMPA hilft nicht weiter, wenn dort festgestellt wird, die Richtwerte BGE 133 II 292 S. 303 könnten im Sinne von schweizerischen Immissionsgrenzwerten interpretiert werden. Hinzu kommt, dass das zweite Gutachten des Lärmkontors, auf welches das BAFU sich massgeblich abgestützt hat, erst im bundesgerichtlichen Verfahren eingereicht wurde, dem Verwaltungsgericht mithin noch nicht zur Verfügung stand.</w:t>
      </w:r>
    </w:p>
    <w:p>
      <w:r>
        <w:rPr>
          <w:b/>
        </w:rPr>
        <w:t>E. 4.4</w:t>
      </w:r>
    </w:p>
    <w:p>
      <w:r>
        <w:t>Insgesamt lässt sich die Bundesrechtskonformität des umstrittenen Projekts aufgrund der heute zur Diskussion stehenden Betriebszeiten und verschiedenen vorgeschlagenen Lärmschutzmassnahmen nicht abschliessend beurteilen. Es ist nicht Aufgabe des Bundesgerichts, dies als erste und einzige Instanz zu tun, weshalb dem detaillierten Antrag der Gemeinde in dieser Form nicht Folge gegeben werden kann. Die Berechnungen des BAFU legen indes nahe, dass die vom Verwaltungsgericht festgelegten Benutzungszeiten zu restriktiv sind, weshalb die Gemeinde mit ihrem Hauptanliegen sinngemäss obsiegt. In Gutheissung ihrer Beschwerde und in Aufhebung des angefochtenen Entscheids hat das Verwaltungsgericht das Projekt im Sinne der Erwägungen nochmals zu beurteilen. Es wird aufgrund der Ausführungen des BAFU zu prüfen haben, ob es das zweite Gutachten des Lärmkontors zu Rate ziehen oder ein zusätzliches Gutachten einholen will; desgleichen hat es darzulegen, ob und inwiefern es bei seiner Beurteilung auf die 18. BImSchV abstellt. Legt es seinen Betriebsvorschriften und den von ihm verhängten baulichen Massnahmen die eigene Erfahrung zugrunde, hat es darzulegen, von welchen Überlegungen es sich leiten liess und inwiefern es allenfalls zusätzlich dem Vorsorgegedanken Rechnung getragen hat. Die privaten Beschwerdeführer dringen demgegenüber mit ihren Anliegen nicht durch, auch wenn sie in ihrem Subeventualantrag um Rückweisung an das Verwaltungsgericht ersuchen. Sie bezwecken damit strengere Vorgaben, welche aufgrund der Berechnungen des BAFU und der gesamten Interessenabwägung nicht zu erwarten sind.</w:t>
      </w:r>
    </w:p>
    <w:p>
      <w:r>
        <w:rPr>
          <w:b/>
        </w:rPr>
        <w:t>E. 5</w:t>
      </w:r>
    </w:p>
    <w:p>
      <w:r>
        <w:t>dB(A) erhöhte Richtwerte. Altanlagen werden gegenüber neuen Anlagen immerhin in gewissem Umfang privilegiert. Zumindest eine Ähnlichkeit zwischen den schweizerischen Planungs- und Immissionsgrenzwerten einerseits und den Richtwerten für Neuanlagen und den erhöhten Richtwerten, welche bei Altanlagen zur Festlegung von Betriebszeiten führen, andererseits, ist damit nicht von der Hand zu weisen. Im Sinne des Ermessens, welches dem Richter bei der lärmrechtlichen Beurteilung aufgrund von Art. 15 USG mangels vorgegebener Belastungsgrenzwerte zukommt, scheint das Vorgehen des BAFU nicht bundesrechtswidrig, sondern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