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249</w:t>
      </w:r>
    </w:p>
    <w:p>
      <w:r>
        <w:t>Bundesgericht (BGE), 2007-06-20, DE</w:t>
      </w:r>
    </w:p>
    <w:p>
      <w:r>
        <w:rPr>
          <w:b/>
        </w:rPr>
        <w:t xml:space="preserve">Quelle: </w:t>
      </w:r>
      <w:r>
        <w:t>https://mcp.opencaselaw.ch/entscheid/bge_BGE_133_II_249</w:t>
      </w:r>
    </w:p>
    <w:p>
      <w:r>
        <w:t>FR: ATF 133 II 249</w:t>
      </w:r>
    </w:p>
    <w:p>
      <w:r>
        <w:t>IT: DTF 133 II 249</w:t>
      </w:r>
    </w:p>
    <w:p>
      <w:pPr>
        <w:pStyle w:val="Heading2"/>
      </w:pPr>
      <w:r>
        <w:t>Regeste</w:t>
      </w:r>
    </w:p>
    <w:p>
      <w:r>
        <w:t>Regeste Art. 82 lit. a und Art. 89 Abs. 1 i.V.m. Art. 42, 95-97, 105 f. BGG; Beschwerde in öffentlich-rechtlichen Angelegenheiten; Baubewilligung; Nachbarbeschwerde; Sachurteilsvoraussetzungen (Beschwerdegründe, Legitimation, Beschwerdebegründung). Pflicht des Nachbarn eines Bauprojekts, seine Beschwerdebefugnis darzulegen (E. 1.1). Zulässigkeit der Beschwerde in öffentlich-rechtlichen Angelegenheiten auf dem Gebiet des Raumplanungs- und Baurechts; Übersicht über die möglichen Beschwerdegründe (E. 1.2). Legitimation des Nachbarn zur Anfechtung eines Bauprojekts mit der Beschwerde in öffentlich-rechtlichen Angelegenheiten (E. 1.3.1); Auswirkungen auf die Zulässigkeit von Beschwerdegründen (E. 1.3.2). Prüfungsbefugnis des Bundesgerichts und grundsätzliche Beschränkung auf die Beurteilung der vorgebrachten Rügen (E. 1.4.1). Anforderungen an Verfassungs- und Sachverhaltsrügen (E. 1.4.2 und 1.4.3).</w:t>
      </w:r>
    </w:p>
    <w:p>
      <w:r>
        <w:t>Regeste Art. 82 let. a et art. 89 al. 1 en relation avec les art. 42, 95-97, 105 s. LTF; recours en matière de droit public; autorisation de construire; recours du voisin; conditions matérielles (motifs de recours, qualité pour agir, motivation du recours). Obligation pour le voisin d'un projet de construction d'établir sa qualité pour recourir (consid. 1.1). Recevabilité du recours en matière de droit public dans le domaine du droit de l'aménagement du territoire et des constructions; aperçu des motifs de recours admissibles (consid. 1.2). Qualité du voisin pour contester un projet de construction par la voie du recours en matière de droit public (consid. 1.3.1); conséquences sur la recevabilité des motifs de recours (consid. 1.3.2). Pouvoir d'examen du Tribunal fédéral et limitation en principe à l'examen des griefs invoqués (consid. 1.4.1). Exigences de motivation lorsque des moyens d'ordre constitutionnel et des moyens de fait sont invoqués (consid. 1.4.2 et 1.4.3).</w:t>
      </w:r>
    </w:p>
    <w:p>
      <w:r>
        <w:t>Regesto Art. 82 lett. a e art. 89 cpv. 1 in relazione con gli art. 42, 95-97, 105 seg. LTF; ricorso in materia di diritto pubblico; licenza edilizia; ricorso del vicino; presupposti materiali (motivi di ricorso, legittimazione, motivazione del ricorso). Obbligo del vicino di un progetto di costruzione di dimostrare la sua legittimazione (consid. 1.1). Ammissibilità del ricorso in materia di diritto pubblico nell'ambito del diritto pianificatorio ed edilizio; riepilogo dei motivi di ricorso possibili (consid. 1.2). Legittimazione del vicino a impugnare un progetto di costruzione con un ricorso in materia di diritto pubblico (consid. 1.3.1); conseguenze sull'ammissibilità dei motivi di ricorso (consid. 1.3.2). Potere di esame del Tribunale federale e limitazione di massima alla disamina delle censure sollevate (consid. 1.4.1). Esigenze di motivazione poste alle censure di ordine costituzionale e a quelle relative all'accertamento dei fatti (consid. 1.4.2 e 1.4.3).</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BGE 133 II 249 S. 251</w:t>
      </w:r>
    </w:p>
    <w:p>
      <w:r>
        <w:rPr>
          <w:b/>
        </w:rPr>
        <w:t>E. 1.1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Liegt - wie hier - eine baurechtliche Nachbarbeschwerde vor, so hat die Begründungspflicht auch eine besondere Bedeutung für die Beschwerdebefugnis.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als Beschwerdeführer auftretende Private zur Beschwerde zuzulassen ist. Vorliegend erfolgt in der Beschwerdeschrift eine hinreichende Auseinandersetzung mit den Sachurteilsvoraussetzungen.</w:t>
      </w:r>
    </w:p>
    <w:p>
      <w:r>
        <w:rPr>
          <w:b/>
        </w:rPr>
        <w:t>E. 1.2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An der Zulässigkeit der Beschwerde in öffentlich-rechtlichen Angelegenheiten ändert nichts, wenn - wie hier - lediglich die Bundesverfassungsmässigkeit der Handhabung von kantonalem bzw. kommunalem Baurecht im Streit liegt.</w:t>
      </w:r>
    </w:p>
    <w:p>
      <w:r>
        <w:rPr>
          <w:b/>
        </w:rPr>
        <w:t>E. 1.2.1</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 bis lit. e BGG bleibt die Kognition des Bundesgerichts bezüglich des kantonalen und kommunalen Rechts unter dem Bundesgerichtsgesetz im Vergleich zum früheren Recht unverändert. Diesbezüglich bildet die Verletzung kantonaler bzw. kommunaler BGE 133 II 249 S. 252 Bestimmungen nur dann einen zulässigen Beschwerdegrund, wenn eine derartige Rechtsverletzung einen Verstoss gegen Bundesrecht im Sinne von Art. 95 lit. a BGG - so das Raumplanungs- und Umweltschutzrecht des Bundes usw., ferner auf Verfassungsstufe beispielsweise das Willkürverbot ( Art. 9 BV ) - oder gegen Völkerrecht im Sinne von Art. 95 lit. b BGG zur Folge hat (vgl. die Botschaft vom 28. Februar 2001 zur Totalrevision der Bundesrechtspflege, BBl 2001 S. 4202 ff., 4335).</w:t>
      </w:r>
    </w:p>
    <w:p>
      <w:r>
        <w:rPr>
          <w:b/>
        </w:rPr>
        <w:t>E. 1.2.2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BBl 2001 S. 4338).</w:t>
      </w:r>
    </w:p>
    <w:p>
      <w:r>
        <w:rPr>
          <w:b/>
        </w:rPr>
        <w:t>E. 1.3</w:t>
      </w:r>
    </w:p>
    <w:p>
      <w:r>
        <w:t>In Art. 89 Abs. 1 BGG sind mit Blick auf die Legitimation zur Beschwerde in öffentlich-rechtlichen Angelegenheiten kumulativ drei Anforderungen verankert. Der Beschwerdeführer muss vor der Vorinstanz am Verfahren teilgenommen oder dazu keine Möglichkeit erhalten haben (lit. a). Er muss durch den angefochtenen Entscheid oder Erlass besonders berührt sein (lit. b) und ein schutzwürdiges Interesse an dessen Aufhebung oder Änderung haben (lit. c).</w:t>
      </w:r>
    </w:p>
    <w:p>
      <w:r>
        <w:rPr>
          <w:b/>
        </w:rPr>
        <w:t>E. 1.3.1</w:t>
      </w:r>
    </w:p>
    <w:p>
      <w:r>
        <w:t>Die Kriterien von Art. 89 Abs. 1 BGG grenzen die Beschwerdelegitimation von Nachbarn gegen unzulässige Popularbeschwerden ab.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die Botschaft, BBl 2001 S. 4236). Die Voraussetzungen von Art. 89 Abs. 1 lit. b und lit. c BGG hängen BGE 133 II 249 S. 253 eng zusammen; insgesamt kann insoweit an die Grundsätze, die zur Legitimationspraxis bei der Verwaltungsgerichtsbeschwerde nach Art. 103 lit. a des früheren Bundesgesetzes vom 16. Dezember 1943 über die Organisation der Bundesrechtspflege (OG; BS 3 S. 531) entwickelt worden sind (vgl. BGE 120 Ib 48 E. 2a S. 51 f., BGE 120 Ib 379 E. 4b S. 386 f.), angeknüpft werden.</w:t>
      </w:r>
    </w:p>
    <w:p>
      <w:r>
        <w:rPr>
          <w:b/>
        </w:rPr>
        <w:t>E. 1.3.2</w:t>
      </w:r>
    </w:p>
    <w:p>
      <w:r>
        <w:t>Bei der Beschwerde in öffentlich-rechtlichen Angelegenheiten ist nicht erforderlich, dass das angeblich willkürlich angewendete kantonale oder kommunale Gesetzesrecht dem Beschwerdeführer einen Rechtsanspruch bzw. ein rechtlich geschütztes Interesse vermittelt. In diesem Punkt unterscheiden sich die hier zulässigen Beschwerdegründe von denjenigen bei der subsidiären Verfassungsbeschwerde (vgl. zur Zulässigkeit der Willkürrüge beim letztgenannten Rechtsmittel, BGE 133 I 185 E. 6.1 und 6.3 S. 197 ff.). Aus dem Legitimationskriterium des schutzwürdigen Interesses gemäss Art. 89 Abs. 1 lit. c BGG (vgl. E. 1.3.1, hiervor) ist jedoch abzuleiten,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(vgl. das Votum von Bundesrat Blocher in der ständerätlichen Beratung vom 8. März 2005, AB 2005 S 135 f.).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 wie bei der subsidiären Verfassungsbeschwerde (vgl. BGE 133 I 185 E. 6.2 S. 198 ff.) - die Verletzung von Parteirechten rügen, deren Missachtung auf eine formelle Rechtsverweigerung hinausläuft.</w:t>
      </w:r>
    </w:p>
    <w:p>
      <w:r>
        <w:rPr>
          <w:b/>
        </w:rPr>
        <w:t>E. 1.3.3</w:t>
      </w:r>
    </w:p>
    <w:p>
      <w:r>
        <w:t>Vorliegend hat der Beschwerdeführer vor der Vorinstanz am Verfahren teilgenommen ( Art. 89 Abs. 1 lit. a BGG ). Er ist als Eigentümer der an das Baugrundstück angrenzenden Parzelle Nr. 2647, GB Ebikon, durch den angefochtenen Entscheid besonders berührt ( Art. 89 Abs. 1 lit. b BGG ). Der Beschwerdeführer bringt Gehörsrügen vor; dazu ist er ohne Weiteres befugt. In der Sache wendet er sich gegen die Höhe der geplanten Baute und den Umfang der baulichen Ausnutzung auf dem Nachbargrundstück. Insofern macht er BGE 133 II 249 S. 254 eine willkürliche Anwendung kantonalen Rechts und eine Verletzung des Gleichbehandlungsgebots, verbunden mit einer Sachverhaltsrüge, geltend. Der mit diesen Vorbringen beanstandete Umfang der baulichen Ausnutzung beim fraglichen Bauprojekt wirkt sich in erheblichem Masse auf die Nutzung der Liegenschaft des Beschwerdeführers aus. Insofern betrifft der angefochtene Entscheid den Beschwerdeführer in schutzwürdigen eigenen Interessen ( Art. 89 Abs. 1 lit. c BGG ). Dieser ist somit zur Beschwerde befugt.</w:t>
      </w:r>
    </w:p>
    <w:p>
      <w:r>
        <w:rPr>
          <w:b/>
        </w:rPr>
        <w:t>E. 1.4</w:t>
      </w:r>
    </w:p>
    <w:p>
      <w:r>
        <w:t>Das Eintreten auf zulässige Beschwerdegründe hängt weiter vom Erfüllen der Anforderungen an die Begründung der einzelnen Rügen ab.</w:t>
      </w:r>
    </w:p>
    <w:p>
      <w:r>
        <w:rPr>
          <w:b/>
        </w:rPr>
        <w:t>E. 1.4.1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BGE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w:t>
      </w:r>
    </w:p>
    <w:p>
      <w:r>
        <w:rPr>
          <w:b/>
        </w:rPr>
        <w:t>E. 1.4.2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OG (vgl. dazu BGE 130 I 258 E. 1.3 S. 261 f.; BGE 129 I 113 E. 2.1 S. 120) weiterzuführen (vgl. die Botschaft, BBl 2001 S. 4344).</w:t>
      </w:r>
    </w:p>
    <w:p>
      <w:r>
        <w:rPr>
          <w:b/>
        </w:rPr>
        <w:t>E. 1.4.3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BGE 133 II 249 S. 255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1.4.2, hiervor).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w:t>
      </w:r>
    </w:p>
    <w:p>
      <w:r>
        <w:rPr>
          <w:b/>
        </w:rPr>
        <w:t>E. 1.4.4</w:t>
      </w:r>
    </w:p>
    <w:p>
      <w:r>
        <w:t>Im vorliegenden Fall stehen mehrere Verfassungsrügen und eine Sachverhaltsrüge zur Diskussion. Es wird, soweit erforderlich, im entsprechenden Sachzusammenhang darzulegen sein, inwiefern die Anforderungen an die Rügepflicht hier nicht eingehalten sind.</w:t>
      </w:r>
    </w:p>
    <w:p>
      <w:r>
        <w:rPr>
          <w:b/>
        </w:rPr>
        <w:t>E. 1.5</w:t>
      </w:r>
    </w:p>
    <w:p>
      <w:r>
        <w:t>Da auch die übrigen Sachurteilsvoraussetzungen erfüllt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