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701</w:t>
      </w:r>
    </w:p>
    <w:p>
      <w:r>
        <w:t>Bundesgericht (BGE), 2007-10-23, DE</w:t>
      </w:r>
    </w:p>
    <w:p>
      <w:r>
        <w:rPr>
          <w:b/>
        </w:rPr>
        <w:t xml:space="preserve">Quelle: </w:t>
      </w:r>
      <w:r>
        <w:t>https://mcp.opencaselaw.ch/entscheid/bge_BGE_133_III_701</w:t>
      </w:r>
    </w:p>
    <w:p>
      <w:r>
        <w:t>FR: ATF 133 III 701</w:t>
      </w:r>
    </w:p>
    <w:p>
      <w:r>
        <w:t>IT: DTF 133 III 701</w:t>
      </w:r>
    </w:p>
    <w:p>
      <w:pPr>
        <w:pStyle w:val="Heading2"/>
      </w:pPr>
      <w:r>
        <w:t>Regeste</w:t>
      </w:r>
    </w:p>
    <w:p>
      <w:r>
        <w:t>Regeste Art. 78 Abs. 2 lit. a BGG; Abgrenzung der Beschwerde in Zivilsachen von der Beschwerde in Strafsachen. Die Beschwerde in Strafsachen steht der Geschädigten zur Durchsetzung ihrer Zivilansprüche zur Verfügung, wenn die letzte kantonale Instanz sowohl den Straf- als auch den Zivilpunkt zu beurteilen hatte. War nur noch der Zivilpunkt strittig, ist die Beschwerde in Zivilsachen zulässig (E. 2.1).</w:t>
      </w:r>
    </w:p>
    <w:p>
      <w:r>
        <w:t>Regeste Art. 78 al. 2 let. a LTF; délimitation entre le recours en matière civile et le recours en matière pénale. Le recours en matière pénale est ouvert au lésé qui entend faire valoir ses prétentions civiles, lorsque l'autorité cantonale de dernière instance devait statuer tant sur le plan pénal que sur le plan civil. Si seul le point civil était encore litigieux, c'est le recours en matière civile qui est recevable (consid. 2.1).</w:t>
      </w:r>
    </w:p>
    <w:p>
      <w:r>
        <w:t>Regesto Art. 78 cpv. 2 lett. a LTF; delimitazione fra il ricorso in materia civile e il ricorso in materia penale. La vittima che intende far valere le sue pretese civili può interporre ricorso in materia penale se l'autorità cantonale di ultima istanza è stata chiamata a pronunciarsi sia sulle questioni di rilevanza penale che su quelle di rilevanza civile. Se dinanzi ad essa erano invece litigiose solo le questioni di rilevanza civile, va inoltrato il ricorso in materia civile (consid. 2.1).</w:t>
      </w:r>
    </w:p>
    <w:p>
      <w:pPr>
        <w:pStyle w:val="Heading2"/>
      </w:pPr>
      <w:r>
        <w:t>Erwägungen</w:t>
      </w:r>
    </w:p>
    <w:p>
      <w:r>
        <w:rPr>
          <w:b/>
        </w:rPr>
        <w:t>E. 2</w:t>
      </w:r>
    </w:p>
    <w:p>
      <w:r>
        <w:t>(...)</w:t>
      </w:r>
    </w:p>
    <w:p>
      <w:r>
        <w:rPr>
          <w:b/>
        </w:rPr>
        <w:t>E. 2.1</w:t>
      </w:r>
    </w:p>
    <w:p>
      <w:r>
        <w:t>Nach Art. 78 Abs. 2 lit. a des Bundesgesetzes vom 17. Juni 2005 über das Bundesgericht (BGG; SR 173.110) unterliegen der Beschwerde in Strafsachen auch Entscheide in Zivilsachen, wenn sie zusammen mit der Strafsache zu behandeln sind. Entsprechend bestimmt der französische Gesetzestext: "Sont également sujettes au recours en matière pénale les décisions sur les prétentions civiles qui doivent être jugées en même temps que la cause pénale". Diese beiden Fassungen sind in zeitlicher Hinsicht offen formuliert. Sie würden zulassen, auf die Anfechtung des kantonalen Entscheides beim Bundesgericht abzustellen (vgl. auch Botschaft zur Totalrevision der Bundesrechtspflege, BBl 2001 S. 4313). Der italienische Text lautet dagegen: "Al ricorso in materia penale soggiacciono anche le decisioni concernenti le pretese civili trattate unitamente alla causa penale". Die italienische Fassung spricht dafür, dass die Beschwerde in Strafsachen zulässig ist, wenn die letzte kantonale Instanz über den Straf- wie den Zivilpunkt befunden hat oder hätte befinden müssen. BGE 133 III 701 S. 703 Entsprechend dem italienischen Gesetzestext ist für die Zulässigkeit der Beschwerde in Strafsachen massgebend, dass die letzte kantonale Instanz über den Straf- und den Zivilpunkt befunden hat oder dies hätte tun müssen. Ist dagegen im Strafverfahren vor der oberen kantonalen Instanz nur noch der Zivilpunkt streitig, so ist nicht die Beschwerde in Strafsachen, sondern die Beschwerde in Zivilsachen gegeben. Denn die Rechtsuchenden müssen wissen, welches Rechtsmittel sie ergreifen können, und sie haben Anspruch darauf, dass ihnen die Rechtsmittelfrist in vollem Umfang zur Verfügung steht. Wäre entscheidend, ob erst im Rechtsmittelverfahren vor Bundesgericht Straf- und Zivilpunkt zusammen zu behandeln seien, so hätte die Zivilpartei die Beschwerde in Zivilsachen zu ergreifen, wenn der Strafpunkt nicht angefochten wird. Sie hätte dagegen Beschwerde in Strafsachen einzureichen, wenn von einer anderen Partei Beschwerde in Strafsachen erhoben wird, um den Strafpunkt in Frage zu stellen. Es stünde damit unter Umständen erst nach Ablauf der 30-tägigen Beschwerdefrist von Art. 100 Abs. 1 BGG fest, welche Beschwerde der Zivilpartei zur Verfügung steht. Die Zulässigkeit eines Rechtsmittels muss im Zeitpunkt der Einreichung feststehen, nicht erst mit Ablauf der Rechtsmittelfrist. Dies ist nur gewährleistet, wenn entsprechend dem italienischen Text für die Zulässigkeit der Beschwerde in Strafsachen darauf abgestellt wird, dass die letzte kantonale Instanz sowohl über den Straf- wie den Zivilpunkt entschieden hat oder hätte entscheiden müssen. Auch diese Lösung ist zwar nicht frei von Inkohärenzen. Die Beschwerde in Zivilsachen ist grundsätzlich nur zulässig, wenn der Streitwert von Fr. 30'000.- erreicht ist ( Art. 74 BGG ), während die Beschwerde in Strafsachen keinen Streitwert voraussetzt. Einer Zivilpartei steht damit die ordentliche Beschwerde (in Strafsachen) unabhängig von der Höhe ihrer Forderung offen, wenn im Strafverfahren vor der oberen kantonalen Instanz auch der Strafpunkt noch umstritten ist. Sie kann sämtliche zulässigen Rügen im Sinne von Art. 95 und 96 BGG erheben. Wenn vor der letzten kantonalen Instanz nur noch der Zivilpunkt streitig ist, kann sie dagegen die Beschwerde in Zivilsachen in der Regel nur ergreifen, wenn ihre Forderung mehr als Fr. 30'000.- beträgt; sonst steht ihr nur noch die subsidiäre Verfassungsbeschwerde mit beschränkten Rügen offen (vgl. Art. 116 BGG ). Diese Folge vermag zwar sachlich nicht zu überzeugen, ist aber auf die unterschiedlichen Beschwerdevoraussetzungen zurückzuführen. Die gesetzgeberische Ungereimtheit bliebe - wenn auch mit anderer BGE 133 III 701 S. 704 Grenzziehung - bestehen, wenn die Beschwerde in Zivilsachen gemäss dem deutschen und dem französischen Text dann zu ergreifen wäre, wenn der Strafpunkt im Beschwerdeverfahren vor Bundesgericht nicht mehr umstritten ist. Die strafrechtliche Abteilung hat aus diesen Gründen erkannt, dass die Beschwerde in Strafsachen der Zivilpartei nur zur Verfügung steht, wenn die obere kantonale Instanz ( Art. 80 Abs. 1 BGG ) sowohl den Strafpunkt wie den Zivilpunkt zu beurteilen hatte. Dagegen ist die Beschwerde in Zivilsachen zulässig, wenn die obere kantonale Instanz ( Art. 75 Abs. 2 BGG ) im Strafverfahren nur noch über den Zivilpunkt urteilen muss. Die erste zivilrechtliche Abteilung hat sich dieser Auslegung angeschlossen und die Beurteilung des vorliegenden Falles übernommen. Das Rechtsmittel ist als Beschwerde in Zivilsachen entgegen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