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133 III 638</w:t>
      </w:r>
    </w:p>
    <w:p>
      <w:r>
        <w:t>Bundesgericht (BGE), 2007-10-03, DE</w:t>
      </w:r>
    </w:p>
    <w:p>
      <w:r>
        <w:rPr>
          <w:b/>
        </w:rPr>
        <w:t xml:space="preserve">Quelle: </w:t>
      </w:r>
      <w:r>
        <w:t>https://mcp.opencaselaw.ch/entscheid/bge_BGE_133_III_638</w:t>
      </w:r>
    </w:p>
    <w:p>
      <w:r>
        <w:t>FR: ATF 133 III 638</w:t>
      </w:r>
    </w:p>
    <w:p>
      <w:r>
        <w:t>IT: DTF 133 III 638</w:t>
      </w:r>
    </w:p>
    <w:p>
      <w:pPr>
        <w:pStyle w:val="Heading2"/>
      </w:pPr>
      <w:r>
        <w:t>Regeste</w:t>
      </w:r>
    </w:p>
    <w:p>
      <w:r>
        <w:t>Regeste Art. 98 BGG; Besitzesschutz. Die Besitzesschutzklage ist eine vorsorgliche Massnahme im Sinn von Art. 98 BGG (E. 2).</w:t>
      </w:r>
    </w:p>
    <w:p>
      <w:r>
        <w:t>Regeste Art. 98 LTF; protection de la possession. L'action possessoire est une mesure provisionnelle au sens de l'art. 98 LTF (consid. 2).</w:t>
      </w:r>
    </w:p>
    <w:p>
      <w:r>
        <w:t>Regesto Art. 98 LTF; protezione del possesso. L'azione possessoria è una misura cautelare nel senso dell'art. 98 LTF (consid. 2).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Besitzesschutzklage zielt auf die Wiederherstellung oder die Aufrechterhaltung des früheren Zustandes. Unter Vorbehalt des Spezialfalles von Art. 927 Abs. 2 ZGB , wo das bessere Recht nachzuweisen ist, wird im Urteil nicht über die materielle Rechtszuständigkeit entschieden; vielmehr wird dem Gesuchsteller vorläufiger Rechtsschutz gewährt ( BGE 94 II 348 E. 3 S. 353; BGE 113 II 243 E. 1b S. 244 oben). Beim Besitzesschutz handelt es sich folglich - was auch in der Botschaft zur Totalrevision der Bundesrechtspflege vom 28. Februar 2001 so festgehalten wurde (BBl 2001 S. 4336) - um eine vorsorgliche Massnahme im Sinn von Art. 98 BGG , womit nur die Verletzung verfassungsmässiger Rechte gerügt werden kann und überdies das Rügeprinzip gilt ( Art. 106 Abs. 2 BGG ). Das Urteil 5A_433/2007 mit der gleichen Publikationsreferenz BGE 133 III 638 ist aus technischen Gründen unter BGE 133 III 639 abrufbar.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