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585</w:t>
      </w:r>
    </w:p>
    <w:p>
      <w:r>
        <w:t>Bundesgericht (BGE), 2007-01-01, DE</w:t>
      </w:r>
    </w:p>
    <w:p>
      <w:r>
        <w:rPr>
          <w:b/>
        </w:rPr>
        <w:t xml:space="preserve">Quelle: </w:t>
      </w:r>
      <w:r>
        <w:t>https://mcp.opencaselaw.ch/entscheid/bge_BGE_133_III_585</w:t>
      </w:r>
    </w:p>
    <w:p>
      <w:r>
        <w:t>FR: ATF 133 III 585</w:t>
      </w:r>
    </w:p>
    <w:p>
      <w:r>
        <w:t>IT: DTF 133 III 585</w:t>
      </w:r>
    </w:p>
    <w:p>
      <w:pPr>
        <w:pStyle w:val="Heading2"/>
      </w:pPr>
      <w:r>
        <w:t>Regeste</w:t>
      </w:r>
    </w:p>
    <w:p>
      <w:r>
        <w:t>Regeste Eheschutz; Beschwerde in Zivilsachen an das Bundesgericht; Kanton Zürich; letztinstanzlicher kantonaler Entscheid. Mit der Nichtigkeitsbeschwerde (§ 281 ff. ZPO/ZH) gegen den Beschluss des Obergerichts des Kantons Zürich über Eheschutzmassnahmen an das Kassationsgericht des Kantons Zürich können alle vor Bundesgericht zulässigen Rügen erhoben werden. Einzig der Beschluss des Kassationsgerichts gilt demnach als letztinstanzlicher Entscheid im Sinn von Art. 75 Abs. 1 BGG (E. 3). Anforderungen an die Begründung der Beschwerde in Zivilsachen gegen den Entscheid über vorsorgliche Massnahmen im Sinn von Art. 98 BGG (E. 4.1).</w:t>
      </w:r>
    </w:p>
    <w:p>
      <w:r>
        <w:t>Regeste Protection de l'union conjugale; recours en matière civile; canton de Zurich; décision cantonale de dernière instance. Dans un pourvoi en nullité (§ 281 ss CPC/ZH) déposé auprès de la Cour de cassation du canton de Zurich et dirigé contre une décision sur mesures protectrices de l'union conjugale rendue par l'Obergericht, tous les griefs admissibles devant le Tribunal fédéral peuvent être soulevés. Seule la décision de la Cour de cassation vaut décision de dernière instance au sens de l'art. 75 al. 1 LTF (consid. 3). Exigences de motivation du recours en matière civile contre la décision portant sur des mesures provisionnelles au sens de l'art. 98 LTF (consid. 4.1).</w:t>
      </w:r>
    </w:p>
    <w:p>
      <w:r>
        <w:t>Regesto Protezione dell'unione coniugale; ricorso in materia civile al Tribunale federale; Cantone Zurigo; decisione cantonale di ultima istanza. Con un ricorso per nullità (§ 281 segg. CPC/ZH) al Tribunale di cassazione del Cantone Zurigo contro una decisione emanata dall'Obergericht del Cantone Zurigo in materia di misure a protezione dell'unione coniugale possono essere sollevate tutte le censure pure ammissibili innanzi al Tribunale federale. Solo la sentenza del Tribunale di cassazione è quindi una decisione cantonale di ultima istanza nel senso dell'art. 75 cpv. 1 LTF (consid. 3). Esigenze di motivazione di un ricorso in materia civile contro una decisione concernente misure cautelari nel senso dell'art. 98 LTF (consid. 4.1).</w:t>
      </w:r>
    </w:p>
    <w:p>
      <w:pPr>
        <w:pStyle w:val="Heading2"/>
      </w:pPr>
      <w:r>
        <w:t>Erwägungen</w:t>
      </w:r>
    </w:p>
    <w:p>
      <w:r>
        <w:rPr>
          <w:b/>
        </w:rPr>
        <w:t>E. 3.1</w:t>
      </w:r>
    </w:p>
    <w:p>
      <w:r>
        <w:t>Die Beschwerde 5A_36/2007 richtet sich gegen den Beschluss des Obergerichts des Kantons Zürich vom 16. Januar 2007. Die Beschwerde in Zivilsachen ist zulässig gegen Entscheide letzter kantonaler Instanzen. Nicht erforderlich ist die Einlegung eines ausserordentlichen Rechtsmittels, mit welchem nicht alle vor Bundesgericht zulässigen Rügen erhoben werden können. Wird das ausserordentliche kantonale Rechtsmittel aber ergriffen, beginnt die Beschwerdefrist gegen den Entscheid des oberen kantonalen Gerichts erst mit der Eröffnung des Entscheids der zusätzlichen Rechtsmittelinstanz (Art. 100 Abs. 6 des Bundesgesetzes vom 17. Juni 2005 über das Bundesgericht [BGG; SR 173.110]). Können allerdings mit dem ausserordentlichen kantonalen Rechtsmittel alle vor Bundesgericht zulässigen Rügen geltend gemacht werden BGE 133 III 585 S. 587 , erfordert Art. 75 Abs. 1 BGG die Erschöpfung dieses kantonalen Rechtsmittelzuges und ist die Beschwerde gegen den Entscheid des oberen kantonalen Gerichts unzulässig.</w:t>
      </w:r>
    </w:p>
    <w:p>
      <w:r>
        <w:rPr>
          <w:b/>
        </w:rPr>
        <w:t>E. 3.2</w:t>
      </w:r>
    </w:p>
    <w:p>
      <w:r>
        <w:t>Zu prüfen ist daher zunächst, ob vor dem Kassationsgericht alle vor Bundesgericht zulässigen Rügen geltend gemacht werdenkonnten.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FRANK/STRÄULI/MESSMER, Kommentar zur zürcherischen Zivilprozessordnung, 3. Aufl., Zürich 2000, N. 6 zu § 285 ZPO /ZH).</w:t>
      </w:r>
    </w:p>
    <w:p>
      <w:r>
        <w:rPr>
          <w:b/>
        </w:rPr>
        <w:t>E. 3.3</w:t>
      </w:r>
    </w:p>
    <w:p>
      <w:r>
        <w:t>Eheschutzentscheide gelten nach der Rechtsprechung als vorsorgliche Massnahmen im Sinn von Art. 98 BGG ( BGE 133 III 393 E. 5), so dass nur die Verletzung verfassungsmässiger Rechte, namentlich des Willkürverbots ( Art. 9 BV ), geltend gemacht werden kann.</w:t>
      </w:r>
    </w:p>
    <w:p>
      <w:r>
        <w:rPr>
          <w:b/>
        </w:rPr>
        <w:t>E. 3.4</w:t>
      </w:r>
    </w:p>
    <w:p>
      <w:r>
        <w:t>Mit der gegen den Beschluss des Obergerichts erhobenen Beschwerde in Zivilsachen rügt der Beschwerdeführer unter anderem die Verletzung von Art. 8 Abs. 3 (Gleichberechtigung von Mann und Frau), Art. 29 Abs. 1, Art. 11 Abs. 1 (Anspruch der Kinder auf Unversehrtheit) und Art. 27 BV (Wirtschaftsfreiheit). Verfassungsrügen überprüft das Bundesgericht an sich frei. Artikel 8 Abs. 3, Art. 11 Abs. 1 und Art. 27 BV kommt indes hinsichtlich des im ZGB geregelten Eheschutzes und der Kinderbelange keine eigenständige Bedeutung zu, was vom Beschwerdeführer auch nicht behauptet wird. Auf die Beschwerde ist insoweit nicht einzutreten. Nach herrschender Auffassung ist eine eher weite Auslegung des Begriffes des wesentlichen Verfahrensgrundsatzes gemäss § 281 Ziff. 1 ZPO /ZH angezeigt. Darunter fallen nicht nur Vorschriften des kantonalen Zivilprozessrechts, sondern ebenso bundesrechtliche Verfahrensgrundsätze (FRANK/STRÄULI/MESSMER, a.a.O., N. 16 und 17 zu § 281 Ziff. 1 ZPO /ZH). Artikel 29 BV handelt von den Verfahrensgarantien. Dessen Absatz 1 umschreibt allgemeine Rechte, wie etwa das Verbot der Rechtsverweigerung und -verzögerung sowie das Verbot des überspitzten Formalismus (MAHON, in: Aubert/ Mahon, Petit commentaire de la Constitution fédérale de la Confédération suisse, 2003, N. 4 zu Art. 29 BV ), während Absatz 2 den Anspruch auf rechtliches Gehör beinhaltet. Absatz 3 schliesslich BGE 133 III 585 S. 588 regelt die unentgeltliche Rechtspflege. Mit Bezug auf die Ansprüche gemäss den Absätzen 2 und 3 gehen Lehre und Rechtsprechung davon aus, es handle sich um vom Kassationsgericht frei zu prüfende wesentliche Verfahrensgrundsätze im Sinn von § 281 Ziff. 1 ZPO /ZH (für das rechtliche Gehör: SPÜHLER/VOCK, Rechtsmittel in Zivilsachen im Kanton Zürich und im Bund, 1999, S. 67; BGE 104 Ia 408 E. 3b S. 411; für die unentgeltliche Rechtspflege: SPÜHLER/ VOCK, a.a.O., S. 67; ZR 97/1998 Nr. 31 S. 92 f., E. 2; 104/2005 Nr. 9 S. 26 f., E. 2.2b). Die in Art. 29 Abs. 1 BV umschriebenen Verfahrensgarantien gelten somit wie die vorgenannten Ansprüche als wesentliche Verfahrensgrundsätze im Sinn von § 281 Ziff. 1 ZPO /ZH. Auch die übrigen Rügen konnten mit der kantonalen Nichtigkeitsbeschwerde geltend gemacht werden. Das gilt für die aktenwidrigen oder willkürlichen Annahmen ( § 281 Ziff. 2 ZPO /ZH) ebenso wie für die bezüglich der Bestimmungen des Eheschutzes und der Kinderbelange erhobene Kritik der Verletzung klaren materiellen Rechts ( § 281 Ziff. 3 ZPO /ZH), die im Wesentlichen der Rüge der Verletzung des Willkürverbots entspricht.</w:t>
      </w:r>
    </w:p>
    <w:p>
      <w:r>
        <w:rPr>
          <w:b/>
        </w:rPr>
        <w:t>E. 3.5</w:t>
      </w:r>
    </w:p>
    <w:p>
      <w:r>
        <w:t>Konnten aber mit dem kantonalen ausserordentlichen Rechtsmittel alle vor Bundesgericht zulässigen Rügen geltend gemacht werden, ist die gegen den Beschluss des Obergerichts erhobene Beschwerde vom 19. Februar 2007 mangels Erschöpfung des kantonalen Instanzenzuges unzulässig; darauf ist nicht einzutreten. Da bei dieser Rechtslage insbesondere auch Art. 100 Abs. 6 BGG nicht zur Anwendung gelangt (E. 3.1 hiervor), ist auf die Ergänzung der Beschwerde vom 19. Februar 2007 durch die Eingabe vom 11. Juli 2007 nicht einzutreten.</w:t>
      </w:r>
    </w:p>
    <w:p>
      <w:r>
        <w:rPr>
          <w:b/>
        </w:rPr>
        <w:t>E. 4.1</w:t>
      </w:r>
    </w:p>
    <w:p>
      <w:r>
        <w:t>Mit der Beschwerde 5A_391/2007 richtet sich der Beschwerdeführer gegen den Beschluss des Kassationsgerichts des Kantons Zürich vom 4. Juni 2007. Da gegen Eheschutzentscheide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BGE 133 III 585 S. 589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BGE 128 I 81 E. 2 S. 86; BGE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 Allgemeine Einwendungen gegen den angefochtenen Entscheid und Ausführungen zur Arbeitsweise der Vorinstanz werden hingegen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