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580</w:t>
      </w:r>
    </w:p>
    <w:p>
      <w:r>
        <w:t>Bundesgericht (BGE), 2007-08-17, FR</w:t>
      </w:r>
    </w:p>
    <w:p>
      <w:r>
        <w:rPr>
          <w:b/>
        </w:rPr>
        <w:t xml:space="preserve">Quelle: </w:t>
      </w:r>
      <w:r>
        <w:t>https://mcp.opencaselaw.ch/entscheid/bge_BGE_133_III_580</w:t>
      </w:r>
    </w:p>
    <w:p>
      <w:r>
        <w:t>FR: ATF 133 III 580</w:t>
      </w:r>
    </w:p>
    <w:p>
      <w:r>
        <w:t>IT: DTF 133 III 580</w:t>
      </w:r>
    </w:p>
    <w:p>
      <w:pPr>
        <w:pStyle w:val="Heading2"/>
      </w:pPr>
      <w:r>
        <w:t>Regeste</w:t>
      </w:r>
    </w:p>
    <w:p>
      <w:r>
        <w:t>Regeste Materielle Rechtskraft im Schuldbetreibungs- und Konkursrecht. Im Schuldbetreibungs- und Konkursrecht kommt der materiellen Rechtskraft nur beschränkte Bedeutung zu: Sie gilt nur für das betreffende Verfahren und bei gleichbleibenden tatsächlichen Verhältnissen. Die Pfändung im Rahmen einer weiteren Gruppe gemäss Art. 110 Abs. 2 SchKG wird in einem anderen Vollstreckungsverfahren vollzogen; sie ist der Beschwerde zugänglich, ohne dass die Einrede der materiellen Rechtskraft von Entscheiden, welche sich auf frühere Gruppen beziehen, entgegengehalten werden kann (E. 2).</w:t>
      </w:r>
    </w:p>
    <w:p>
      <w:r>
        <w:t>Regeste Autorité de la chose jugée en droit des poursuites et faillites. En droit des poursuites et faillites, l'autorité de la chose jugée a une portée limitée: elle ne vaut que pour la procédure d'exécution en cause et pour autant que l'état de fait reste le même. La saisie réalisée dans le cadre d'une nouvelle série selon l'art. 110 al. 2 LP est opérée dans une autre procédure d'exécution; elle ouvre la voie de la plainte sans que l'on puisse exciper de l'autorité de chose jugée de décisions rendues dans le cadre des séries précédentes (consid. 2).</w:t>
      </w:r>
    </w:p>
    <w:p>
      <w:r>
        <w:t>Regesto Autorità di cosa giudicata nel diritto esecutivo. Nel diritto esecutivo, l'autorità di cosa giudicata ha una portata limitata: essa vale unicamente per la procedura esecutiva in corso e se lo stato di fatto resta invariato. Il pignoramento eseguito per un nuovo gruppo ai sensi dell'art. 110 cpv. 2 LEF viene effettuato in un'altra procedura d'esecuzione; esso apre la possibilità di ricorrere senza che possa essere opposta l'eccezione di autorità di cosa giudicata di decisioni rese nell'ambito di precedenti gruppi (consid. 2).</w:t>
      </w:r>
    </w:p>
    <w:p>
      <w:pPr>
        <w:pStyle w:val="Heading2"/>
      </w:pPr>
      <w:r>
        <w:t>Erwägungen</w:t>
      </w:r>
    </w:p>
    <w:p>
      <w:r>
        <w:rPr>
          <w:b/>
        </w:rPr>
        <w:t>E. 2</w:t>
      </w:r>
    </w:p>
    <w:p>
      <w:r>
        <w:t>Le litige porte sur la question de la prise en compte, dans le calcul du minimum vital du poursuivi, de sa prime d'assurance-maladie complémentaire et de ses frais professionnels. Cette question, BGE 133 III 580 S. 582 tranchée au stade de la saisie et de la communication du procès-verbal de saisie dans une précédente série, est à nouveau - pour la troisième fois - remise en discussion par le recourant. La Commission cantonale de surveillance estime que la décision rendue sur la question ne peut pas être revue parce qu'elle a acquis force de chose jugée, un cas de révision n'étant au demeurant pas réalisé. Le recourant soutient au contraire que, "s'agissant d'une nouvelle décision prise dans le cadre d'une nouvelle série", il était en droit de s'en plaindre auprès de la Commission cantonale de surveillance.</w:t>
      </w:r>
    </w:p>
    <w:p>
      <w:r>
        <w:rPr>
          <w:b/>
        </w:rPr>
        <w:t>E. 2.1</w:t>
      </w:r>
    </w:p>
    <w:p>
      <w:r>
        <w:t>L'autorité de la chose jugée ou la force de chose jugée au sens matériel (materielle Rechtskraft) est un principe général permettant de s'opposer à ce qu'un jugement soit remis en discussion par les mêmes parties sur le même objet (cf. FABIENNE HOHL, Procédure civile, tome I, n. 1289 ss). En droit de la poursuite et des faillites, l'autorité de la chose jugée a toutefois une portée limitée: elle ne vaut que pour la procédure d'exécution en cause et pour autant que l'état de fait reste le même (FLAVIO COMETTA, Kommentar zum Bundesgesetz über Schuldbetreibung und Konkurs, n. 15 ad art. 21 LP ; FRANCO LORANDI, Betreibungsrechtliche Beschwerde und Nichtigkeit, Bâle 2000, n. 88 ad art. 20 LP ; PAULINE ERARD, Commentaire romand de la LP, n. 8 ad art. 20a LP ).</w:t>
      </w:r>
    </w:p>
    <w:p>
      <w:r>
        <w:rPr>
          <w:b/>
        </w:rPr>
        <w:t>E. 2.2</w:t>
      </w:r>
    </w:p>
    <w:p>
      <w:r>
        <w:t>Dans la poursuite par voie de saisie, la saisie ne profite qu'aux créanciers qui l'ont requise. Dans le but d'éviter les conséquences inéquitables de ce "privilège du premier saisissant", le législateur a prévu que les créanciers qui requièrent la continuation de leur poursuite dans les 30 jours dès l'exécution d'une première saisie participent à celle-ci ( art. 110 al. 1 LP ) et sont donc traités sur pied d'égalité avec le créancier premier saisissant. L'ensemble de ces créanciers forment une série. Lorsqu'un créancier adresse à l'office des poursuites une réquisition de continuer sa poursuite postérieurement à l'échéance du délai de participation de 30 jours à compter de l'exécution de la première saisie, il provoque la création d'une nouvelle série selon les mêmes modalités ( art. 110 al. 2 LP ). Ainsi, il peut se former plusieurs séries successives (P.-R. GILLIÉRON, Poursuite pour dettes, faillite et concordat, 4 e éd. 2005, n. 1069 s.; JEAN-LUC TSCHUMY, Commentaire romand de la LP, n. 1 s. ad Intro. art. 110 et 111 LP ). Chacune des séries est indépendante des autres séries, antérieures ou postérieures, en ce sens qu'à chaque série correspond une BGE 133 III 580 S. 583 procédure de réalisation et de répartition propre, l'office des poursuites devant ainsi établir un état de collocation et un tableau de distribution pour chacune des séries (P.-R. GILLIÉRON, Commentaire de la loi fédérale sur la poursuite pour dettes et la faillite, n. 63 s. ad art. 110 LP ; TSCHUMY, op. cit., n. 34 ad art. 110 LP ). L'office doit consigner la participation de nouveaux créanciers à la fin du procès-verbal de saisie ( art. 113 LP ) et, à l'expiration du délai de participation de 30 jours, notifier sans retard une copie de ce procès-verbal ainsi complété aux créanciers et au débiteur ( art. 114 LP ). Cette communication emporte, pour les créanciers comme pour le débiteur, l'ouverture du délai de plainte prévue à l' art. 17 al. 2 LP et la possibilité pour eux de se prévaloir de toute violation des règles relatives à l'exécution de la saisie (NICOLAS JEANDIN/YASMINE SABETI, Commentaire romand de la LP, n. 17 ad art. 112 LP et n. 5 ad art. 114 LP ), en particulier de celles relatives au calcul du minimum d'existence du débiteur ( ATF 127 III 572 ).</w:t>
      </w:r>
    </w:p>
    <w:p>
      <w:r>
        <w:rPr>
          <w:b/>
        </w:rPr>
        <w:t>E. 2.3</w:t>
      </w:r>
    </w:p>
    <w:p>
      <w:r>
        <w:t>En l'espèce, dès lors que la saisie litigieuse était réalisée dans le cadre d'une nouvelle série, soit d'une autre procédure d'exécution (cf. consid. 2.2 ci-dessus), c'est à tort que la Commission cantonale de surveillance a rejeté la plainte déposée par le recourant le 1 er décembre 2006 en excipant de l'autorité de chose jugée de décisions rendues dans le cadre de la première série et qu'elle lui a ainsi dénié le droit de porter plainte. La décision attaquée, qui consacre un déni de justice formel, doit donc être annulée et la cause renvoyée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