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545</w:t>
      </w:r>
    </w:p>
    <w:p>
      <w:r>
        <w:t>Bundesgericht (BGE), 2007-07-03, FR</w:t>
      </w:r>
    </w:p>
    <w:p>
      <w:r>
        <w:rPr>
          <w:b/>
        </w:rPr>
        <w:t xml:space="preserve">Quelle: </w:t>
      </w:r>
      <w:r>
        <w:t>https://mcp.opencaselaw.ch/entscheid/bge_BGE_133_III_545</w:t>
      </w:r>
    </w:p>
    <w:p>
      <w:r>
        <w:t>FR: ATF 133 III 545</w:t>
      </w:r>
    </w:p>
    <w:p>
      <w:r>
        <w:t>IT: DTF 133 III 545</w:t>
      </w:r>
    </w:p>
    <w:p>
      <w:pPr>
        <w:pStyle w:val="Heading2"/>
      </w:pPr>
      <w:r>
        <w:t>Regeste</w:t>
      </w:r>
    </w:p>
    <w:p>
      <w:r>
        <w:t>Regeste a Bundesgerichtsgesetz (BGG); Zulässigkeit der Beschwerde in Zivilsachen nach Art. 72 ff. BGG. Übergangsrecht (E. 1). Zulässigkeitsvoraussetzungen der Beschwerde in Zivilsachen (E. 2.1). Prüfungsbefugnis des Bundesgerichts im Verfahren der Beschwerde in Zivilsachen (E. 2.2-2.4). Subsidiarität der Verfassungsbeschwerde (E. 5).</w:t>
      </w:r>
    </w:p>
    <w:p>
      <w:r>
        <w:t>Regeste b Verbot der geschlechtsbezogenen Diskriminierung bei der Entlöhnung im Arbeitsverhältnis; Prüfungspflicht der kantonalen Behörde (Art. 3 und 12 Abs. 2 GlG). Art. 12 Abs. 2 GlG auferlegt der kantonalen Behörde eine ausgedehnte Prüfungspflicht, indem er namentlich auf Art. 343 Abs. 4 OR verweist. Entsprechend genügt ein Richter seiner Prüfungspflicht grundsätzlich nicht, wenn er die Anordnung einer Expertise verweigert, die von einer Partei verlangt wird, um die Gleichwertigkeit verschiedener Funktionen im gleichen Unternehmen zu beweisen (E. 4).</w:t>
      </w:r>
    </w:p>
    <w:p>
      <w:r>
        <w:t>Regeste a Loi sur le Tribunal fédéral (LTF); recevabilité du recours en matière civile des art. 72 ss LTF. Droit intertemporel (consid. 1). Conditions de recevabilité du recours en matière civile (consid. 2.1). Pouvoir d'examen du Tribunal fédéral en instance de recours en matière civile (consid. 2.2-2.4). Subsidiarité du recours constitutionnel (consid. 5).</w:t>
      </w:r>
    </w:p>
    <w:p>
      <w:r>
        <w:t>Regeste b Interdiction dans les rapports de travail de toute discrimination à raison du sexe quant à la rémunération; devoir d'examen de l'autorité cantonale (art. 3 et 12 al. 2 LEg). L'art. 12 al. 2 LEg, en renvoyant notamment à l'art. 343 al. 4 CO, impose à l'autorité cantonale un devoir d'examen étendu. Ainsi le juge qui refuse d'ordonner une expertise requise par une partie pour établir l'équivalence entre les différentes fonctions d'une même entreprise ne satisfait en principe pas à son devoir d'examen (consid. 4).</w:t>
      </w:r>
    </w:p>
    <w:p>
      <w:r>
        <w:t>Regesto a Legge sul Tribunale federale (LTF); ammissibilità del ricorso in materia civile giusta l'art. 72 segg. LTF. Diritto transitorio (consid. 1). Condizioni di ammissibilità del ricorso in materia civile (consid. 2.1). Potere d'esame del Tribunale federale nell'ambito del ricorso in materia civile (consid. 2.2-2.4). Natura sussidiaria del ricorso in materia costituzionale (consid. 5).</w:t>
      </w:r>
    </w:p>
    <w:p>
      <w:r>
        <w:t>Regesto b Divieto di discriminazione a causa del sesso nei rapporti di lavoro, in particolare con riferimento alla retribuzione; obbligo d'esame dell'autorità cantonale (art. 3 e 12 cpv. 2 LPar). Mediante il rinvio all'art. 343 cpv. 4 CO, l'art. 12 cpv. 2 LPar impone all'autorità cantonale un obbligo d'esame esteso. Di conseguenza il giudice che rifiuta di ordinare una perizia richiesta da una delle parti, allo scopo di determinare l'equivalenza fra le differenti funzioni in seno a un'impresa, non ossequia, in linea di principio, il suo obbligo d'esame (consid. 4).</w:t>
      </w:r>
    </w:p>
    <w:p>
      <w:pPr>
        <w:pStyle w:val="Heading2"/>
      </w:pPr>
      <w:r>
        <w:t>Erwägungen</w:t>
      </w:r>
    </w:p>
    <w:p>
      <w:r>
        <w:rPr>
          <w:b/>
        </w:rPr>
        <w:t>E. 1</w:t>
      </w:r>
    </w:p>
    <w:p>
      <w:r>
        <w:t>L'arrêt attaqué a été rendu après l'entrée en vigueur, le 1 er janvier 2007, de la loi du 17 juin 2005 sur le Tribunal fédéral (LTF; RS 173.110), de sorte que le présent recours est soumis au nouveau droit ( art. 132 al. 1 LTF ).</w:t>
      </w:r>
    </w:p>
    <w:p>
      <w:r>
        <w:rPr>
          <w:b/>
        </w:rPr>
        <w:t>E. 2.1</w:t>
      </w:r>
    </w:p>
    <w:p>
      <w:r>
        <w:t>Formé par la partie qui a succombé dans ses conclusions condamnatoires ( art. 76 al. 1 LTF ) et dirigé contre un arrêt final ( art. 90 LTF ) BGE 133 III 545 S. 550 rendu en matière civile ( art. 72 al. 1 LTF ) par une autorité cantonale de dernière instance ( art. 75 LTF ) dans une affaire pécuniaire dont la valeur litigieuse dépasse largement le seuil de 15'000 fr. applicable en matière de droit du travail ( art. 74 al. 1 let. a LTF ), le recours en matière civile est en principe recevable, puisqu'il a été déposé dans le délai ( art. 100 al. 1 LTF ) et la forme ( art. 42 LTF ) prévus par la loi.</w:t>
      </w:r>
    </w:p>
    <w:p>
      <w:r>
        <w:rPr>
          <w:b/>
        </w:rPr>
        <w:t>E. 2.2</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in fine, ATF 130 III 297 consid. 3.1).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2.3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w:t>
      </w:r>
    </w:p>
    <w:p>
      <w:r>
        <w:rPr>
          <w:b/>
        </w:rPr>
        <w:t>E. 2.4</w:t>
      </w:r>
    </w:p>
    <w:p>
      <w:r>
        <w:t>Le Tribunal fédéral ne peut aller au-delà des conclusions des parties ( art. 107 al. 1 LTF ). Toute conclusion nouvelle est irrecevable ( art. 99 al. 2 LTF ). (...)</w:t>
      </w:r>
    </w:p>
    <w:p>
      <w:r>
        <w:rPr>
          <w:b/>
        </w:rPr>
        <w:t>E. 4.1</w:t>
      </w:r>
    </w:p>
    <w:p>
      <w:r>
        <w:t>Dans la dernière partie de son recours en matière civile, la recourante soutient qu'en ne donnant pas suite à la requête d'expertise judiciaire qu'elle avait formulée expressément en appel, la cour cantonale a violé les art. 8 al. 3 Cst. , 12 al. 2 de la loi fédérale du 24 mars 1995 sur l'égalité entre femmes et hommes (loi sur BGE 133 III 545 S. 551 l'égalité, LEg; RS 151.1) et 343 al. 4 CO. Elle expose que l'expertise requise avait pour but de déterminer l'équivalence des fonctions qui lui étaient dévolues par rapport à celles que l'intimée avait attribuées à E., D., G. et H. Elle prétend que le refus d'administrer cette offre de preuve constitue de la part de l'autorité cantonale une violation de son devoir de tout mettre en oeuvre pour assurer le respect de l'égalité entre femmes et hommes.</w:t>
      </w:r>
    </w:p>
    <w:p>
      <w:r>
        <w:rPr>
          <w:b/>
        </w:rPr>
        <w:t>E. 4.2</w:t>
      </w:r>
    </w:p>
    <w:p>
      <w:r>
        <w:t>A teneur de l' art. 12 al. 2 LEg , dans sa nouvelle teneur selon le ch. 1 de l'annexe à la LTF, en vigueur depuis le 1 er janvier 2007, l'art. 343 du code des obligations est applicable indépendamment de la valeur litigieuse devant les tribunaux cantonaux. Par ce renvoi à l' art. 343 CO , et singulièrement à l'al. 4 de cette disposition, le droit fédéral impose notamment aux tribunaux cantonaux un devoir d'examen étendu (cf. ATF 130 III 145 consid. 3.1.2 et les références). Ils doivent ainsi veiller, en collaboration avec les parties, à ce que les moyens de preuve soient mentionnés et les preuves administrées (SABINE STEIGER-SACKMANN, Commentaire de la loi sur l'égalité, n. 12 ad art. 12 LEg ). Si l'équivalence entre les diverses fonctions d'une même entreprise ne saute pas aux yeux ou si elle n'est pas établie par d'autres modes de preuve, les tribunaux cantonaux doivent ordonner des expertises. Les experts doivent alors décider si ces fonctions sont comparables les unes aux autres et déterminer les critères permettant de mettre à jour un cas de discrimination (sur ces points, ATF 130 III 145 ibidem). Le juge qui refuse d'ordonner une expertise requise par une partie consacre une violation de l' art. 12 al. 2 LEg , à moins que l'expertise apparaisse d'emblée inutile, parce que, par exemple, le juge dispose lui-même des connaissances scientifiques nécessaires pour élucider une possible discrimination liée au sexe (KATHRIN KLETT, Richterliche Prüfungspflicht und Beweiserleichterung, AJP 2001 ch. 3 p. 1295; MONIQUE COSSALI SAUVAIN, Egalité entre femmes et hommes II, FJS 545 ch. V p. 21 in fine).</w:t>
      </w:r>
    </w:p>
    <w:p>
      <w:r>
        <w:rPr>
          <w:b/>
        </w:rPr>
        <w:t>E. 4.3</w:t>
      </w:r>
    </w:p>
    <w:p>
      <w:r>
        <w:t>En l'espèce, il a été constaté que la Cour d'appel n'a pas donné suite à la requête d'expertise judiciaire formulée par la recourante en instance d'appel. L'autorité cantonale n'a pas motivé sa décision de refus. Au vu des considérations jurisprudentielles et doctrinales précédentes, il appert que la cour cantonale a violé le devoir d'examen qui lui incombait en vertu de l' art. 12 al. 2 LEg . BGE 133 III 545 S. 552 Le principe constitutionnel de l'égalité salariale entre l'homme et la femme (cf. art. 8 al. 3, dernière phrase, Cst.) est fondé sur la notion de travail de valeur égale ( ATF 130 III 145 consid. 3.1.2). Autrement dit, auprès d'un même employeur, la travailleuse a droit à un salaire égal à celui que touche le travailleur s'ils accomplissent tous deux, dans des conditions égales, des tâches semblables ou des travaux, certes de nature différente, mais ayant une valeur identique. La cour cantonale a tout particulièrement contesté l'équivalence entre les tâches qui étaient exercées au sein de la défenderesse par la demanderesse et celles assumées par les juristes E. et D. Pourtant cette autorité n'a jamais prétendu avoir des compétences techniques pour comparer les activités de ces trois juristes, qui ne se recoupaient apparemment nullement. Son raisonnement, dépourvu de toute approche méthodologique et scientifique, est du reste fondé sur un choix de critères vagues. Il est tout particulièrement significatif à cet égard que la Cour d'appel a attribué une grande importance à l'ancienneté au sein de la compagnie, alors qu'il a été constaté définitivement ( art. 105 al. 1 LTF ) que cet élément avait perdu de son importance dès 1991 au profit d'un système fondé sur le mérite. Il suit de là que le recours en matière civile doit être admis, l'arrêt critiqué étant annulé. Ce résultat dispense la juridiction fédérale d'examiner les nombreuses critiques de la recourante prises d'une violation singulièrement des art. 8 al. 3 Cst. , 2 al. 2 CC et 6 LEg, qu'elle a développées aux pages 6 à 18 de son mémoire. Conformément à l' art. 107 al. 2 LTF , le Tribunal fédéral renvoie l'affaire à l'autorité précédente pour qu'elle ordonne l'expertise sollicitée par la recourante.</w:t>
      </w:r>
    </w:p>
    <w:p>
      <w:r>
        <w:rPr>
          <w:b/>
        </w:rPr>
        <w:t>E. 5</w:t>
      </w:r>
    </w:p>
    <w:p>
      <w:r>
        <w:t>Comme la voie du recours en matière civile était ouverte en l'occurrence à considérer la valeur litigieuse déterminante ( art. 74 al. 1 LTF ), le recours constitutionnel subsidiaire est irrecevable ( art. 113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