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490</w:t>
      </w:r>
    </w:p>
    <w:p>
      <w:r>
        <w:t>Bundesgericht (BGE), 2007-06-27, DE</w:t>
      </w:r>
    </w:p>
    <w:p>
      <w:r>
        <w:rPr>
          <w:b/>
        </w:rPr>
        <w:t xml:space="preserve">Quelle: </w:t>
      </w:r>
      <w:r>
        <w:t>https://mcp.opencaselaw.ch/entscheid/bge_BGE_133_III_490</w:t>
      </w:r>
    </w:p>
    <w:p>
      <w:r>
        <w:t>FR: ATF 133 III 490</w:t>
      </w:r>
    </w:p>
    <w:p>
      <w:r>
        <w:t>IT: DTF 133 III 490</w:t>
      </w:r>
    </w:p>
    <w:p>
      <w:pPr>
        <w:pStyle w:val="Heading2"/>
      </w:pPr>
      <w:r>
        <w:t>Regeste</w:t>
      </w:r>
    </w:p>
    <w:p>
      <w:r>
        <w:t>Regeste Markenschutz; Art. 74 BGG. Ein Markeneintragungsbegehren ist eine vermögensrechtliche Angelegenheit im Sinn von Art. 74 Abs. 1 BGG (E. 3.2). Bestimmung des Streitwerts (E. 3.3 und 3.4).</w:t>
      </w:r>
    </w:p>
    <w:p>
      <w:r>
        <w:t>Regeste Protection des marques; art. 74 LTF. La demande d'enregistrement d'une marque est une affaire pécuniaire aux termes de l'art. 74 al. 1 LTF (consid. 3.2). Estimation de la valeur litigieuse (consid. 3.3 et 3.4).</w:t>
      </w:r>
    </w:p>
    <w:p>
      <w:r>
        <w:t>Regesto Protezione dei marchi; art. 74 LTF. La domanda di registrazione di un marchio è una causa di carattere pecuniario ai sensi dell'art. 74 cpv. 1 LTF (consid. 3.2). Determinazione del valore litigioso (consid. 3.3 e 3.4).</w:t>
      </w:r>
    </w:p>
    <w:p>
      <w:pPr>
        <w:pStyle w:val="Heading2"/>
      </w:pPr>
      <w:r>
        <w:t>Erwägungen</w:t>
      </w:r>
    </w:p>
    <w:p>
      <w:r>
        <w:rPr>
          <w:b/>
        </w:rPr>
        <w:t>E. 3</w:t>
      </w:r>
    </w:p>
    <w:p>
      <w:r>
        <w:t>Streitgegenstand bildet die Eintragung der dreidimensionalen Form "Turbinenfuss" ins Register für Marken. Dafür ist nach Art. 72 Abs. 2 lit. b Ziff. 2 BGG die Beschwerde in Zivilsachen das massgebende Rechtsmittel, die in vermögensrechtlichen Angelegenheiten grundsätzlich nur zulässig ist, wenn ein bestimmter Streitwert erreicht wird ( Art. 74 BGG ). Die Vorinstanz hat den Streitwert auf Fr. 25'000.- festgesetzt. Die Beschwerdeführerin stellt sich auf den Standpunkt, es handle sich nicht in erster Linie um eine vermögensrechtliche Angelegenheit. Im Übrigen sei der Streitwert auf über Fr. 30'000.- zu schätzen.</w:t>
      </w:r>
    </w:p>
    <w:p>
      <w:r>
        <w:rPr>
          <w:b/>
        </w:rPr>
        <w:t>E. 3.1</w:t>
      </w:r>
    </w:p>
    <w:p>
      <w:r>
        <w:t>Nach Art. 74 Abs. 1 BGG muss der Streitwert in vermögensrechtlichen Angelegenheiten mindestens Fr. 30'000.- betragen, sofern es sich nicht um einen arbeits- oder mietrechtlichen Fall handelt. Vorbehalten bleiben die in Art. 74 Abs. 2 BGG vorgesehenen Ausnahmen. Der Streitwert bestimmt sich bei Beschwerden gegen Endentscheide nach den Begehren, die vor der Vorinstanz streitig geblieben sind ( Art. 51 Abs. 1 lit. a BGG ). Lautet ein Begehren nicht auf Bezahlung einer bestimmten Geldsumme, so setzt das Bundesgericht den Streitwert nach Ermessen fest ( Art. 51 Abs. 2 BGG ).</w:t>
      </w:r>
    </w:p>
    <w:p>
      <w:r>
        <w:rPr>
          <w:b/>
        </w:rPr>
        <w:t>E. 3.2</w:t>
      </w:r>
    </w:p>
    <w:p>
      <w:r>
        <w:t>Entgegen der Ansicht der Beschwerdeführerin stehen beim Markeneintragungsbegehren Vermögensinteressen auf dem Spiel. Der Markenschutz verleiht dem Berechtigten ein ausschliessliches Recht ( Art. 13 MSchG ; SR 232.11) und damit einen wirtschaftlichen Mehrwert am Zeichen, für das er beansprucht wird. Selbst eine noch nicht in Gebrauch genommene Marke hat einen wirtschaftlichen BGE 133 III 490 S. 492 Grundwert (vgl. JOHANN ZÜRCHER, Der Streitwert im Immaterialgüter- und Wettbewerbsrechtsprozess, sic! 7/2002 S. 493/504). Dass das Register auch öffentlichen Interessen dient, ändert nichts daran, dass die Eintragung eines konkreten Zeichens Vermögensinteressen betrifft und der Streit um den Bestand der Marke eine vermögensrechtliche Angelegenheit ist. Die Auslegung des geltenden BGG wird sodann nicht beeinflusst durch die alte Prozessordnung, wonach die Markeneintragung auf Verwaltungsgerichtsbeschwerde ( Art. 97 ff. OG [BS 3 S. 531]) ebenso wie auf Berufung über Zivilrechtsstreitigkeiten in Markensachen ( Art. 45 OG , vgl. auch Art. 74 Abs. 2 lit. b BGG ) ohne Rücksicht auf den Streitwert zu beurteilen war. Die Beschwerde in Zivilsachen gegen Urteile des Bundesverwaltungsgerichts ist nach geltendem Recht unter Vorbehalt von Art. 74 Abs. 2 lit. a BGG nur zulässig, wenn der Streitwert von mindestens Fr. 30'000.- erreicht ist.</w:t>
      </w:r>
    </w:p>
    <w:p>
      <w:r>
        <w:rPr>
          <w:b/>
        </w:rPr>
        <w:t>E. 3.3</w:t>
      </w:r>
    </w:p>
    <w:p>
      <w:r>
        <w:t>Der Streitwert in Angelegenheiten, die sich mit dem Bestand oder der Verletzung von Immaterialgüterrechten befassen, ist schwer bestimmbar (LUCAS DAVID, Der Rechtsschutz im Immaterialgüterrecht, Schweizerisches Immaterialgüter- und Wettbewerbsrecht [SIWR], Bd. I/2, 2. Aufl. 1998, S. 29; LEONZ MEYER, Der Streitwert in Prozessen um Immaterialgüterrechte und Firmen, sic! 6/2001 S. 559/ 560). In der Lehre wird deshalb vorgeschlagen, es seien aufgrund von Erfahrungswerten über den Wert der umstrittenen Rechte Richtlinien oder Eckdaten aufzustellen, die vermutungsweise der Schätzung des prozessual massgebenden Streitwerts zugrunde gelegt werden können. In diesem Sinne wird in der Lehre gestützt auf die Erfahrungen in der Praxis angenommen, dass der Streitwert zwischen Fr. 50'000.- und Fr. 100'000.- liegt, wenn es um eher unbedeutende Zeichen geht (ZÜRCHER, a.a.O., S. 505; MEYER, a.a.O., S. 563; DAVID, a.a.O., S. 29). Von diesem Erfahrungswert kann für die Schätzung des Streitwerts gemäss Art. 51 Abs. 2 BGG ausgegangen werden, wenn die Eintragung einer Marke umstritten ist und keine konkreten Anhaltspunkte für einen höheren oder niedrigeren Wert der strittigen Marke sprechen.</w:t>
      </w:r>
    </w:p>
    <w:p>
      <w:r>
        <w:rPr>
          <w:b/>
        </w:rPr>
        <w:t>E. 3.4</w:t>
      </w:r>
    </w:p>
    <w:p>
      <w:r>
        <w:t>Der Streitwert für die vorliegende Beschwerde ist auf Fr. 100'000.- zu schätzen. Die Vorbringen der Beschwerdeführerin lassen vermuten, dass ihr Interesse am Markenschutz für die Kennzeichnung komplexer Industrieerzeugnisse als international tätiges Unternehmen sehr erheblich ist. Die Beschwerdeführerin verwendet das Zeichen bereits, so dass jedenfalls davon auszugehen ist, dass nicht allein BGE 133 III 490 S. 493 der Grundwert für noch nicht gebrauchte Kennzeichen auf dem Spiele steht. Von einem offensichtlich unbedeutenden Zeichen kann jedenfalls nicht die Rede sein, weshalb von einem Streitwert an der Obergrenze für den bestrittenen Bestand solcher Zeichen auszugehen ist. Die Schätzung der Vorinstanz, die ihrem Kostenentscheid einen Streitwert von Fr. 25'000.- zugrunde gelegt hat, ist dagegen nicht nachvollziehbar. Die von der Vorinstanz zitierte Literatur - auf die auch im vorliegenden Verfahren Bezug genommen wird - geht durchwegs von einem minimalen Streitwert von Fr. 50'000.- aus und befürwortet einen geringeren Wert nur bei Nachweis besonderer Umstände. Der Streitwert von mindestens Fr. 30'000.- ist vorliegend überschritten, so dass insoweit die Beschwerde in Zivilsachen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