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453</w:t>
      </w:r>
    </w:p>
    <w:p>
      <w:r>
        <w:t>Bundesgericht (BGE), 2007-04-26, DE</w:t>
      </w:r>
    </w:p>
    <w:p>
      <w:r>
        <w:rPr>
          <w:b/>
        </w:rPr>
        <w:t xml:space="preserve">Quelle: </w:t>
      </w:r>
      <w:r>
        <w:t>https://mcp.opencaselaw.ch/entscheid/bge_BGE_133_III_453</w:t>
      </w:r>
    </w:p>
    <w:p>
      <w:r>
        <w:t>FR: ATF 133 III 453</w:t>
      </w:r>
    </w:p>
    <w:p>
      <w:r>
        <w:t>IT: DTF 133 III 453</w:t>
      </w:r>
    </w:p>
    <w:p>
      <w:pPr>
        <w:pStyle w:val="Heading2"/>
      </w:pPr>
      <w:r>
        <w:t>Regeste</w:t>
      </w:r>
    </w:p>
    <w:p>
      <w:r>
        <w:t>Regeste Anfechtung der Wahl der Revisionsstelle (Art. 706 OR); Rechtsschutzinteresse. Rechtsschutzinteresse an der Beurteilung einer Anfechtungsklage gegen Generalversammlungsbeschlüsse über die Wahl der Revisionsstelle bzw. der Konzernprüferin für vergangene Geschäftsjahre, nachdem sich die - behauptetermassen - nicht unabhängige Revisionsstelle während des Prozesses nicht mehr zur Wiederwahl stellte und die von ihr geprüften früheren Jahresrechnungen unangefochten genehmigt wurden (E. 7). Bedeutung der Informationsrechte der Aktionäre und Informationskonzept des Aktienrechts (E. 7.2). Aufgaben der Revisionsstelle und Bedeutung des von einer unabhängigen Revisionsstelle erstellten Revisionsberichts (E. 7.3). Ausschluss einer Verantwortlichkeitsklage (E. 7.4). Subsidiarität der Sonderprüfung (E. 7.5).</w:t>
      </w:r>
    </w:p>
    <w:p>
      <w:r>
        <w:t>Regeste Annulation de l'élection de l'organe de révision (art. 706 CO); intérêt juridiquement protégé. Intérêt juridiquement protégé à obtenir l'annulation de décisions de l'assemblée générale des actionnaires portant sur l'élection de l'organe de révision, respectivement des réviseurs des comptes de groupe, pour les exercices comptables passés, après que l'organe de révision - prétendument - non indépendant ne s'est plus représenté à l'élection pendant le procès et que les comptes annuels examinés par cet organe ont été approuvés (consid. 7). Importance des droits de contrôle des actionnaires et concept de l'information dans le droit de la société anonyme (consid. 7.2). Devoirs de l'organe de révision et portée du rapport de révision établi par un organe de révision indépendant (consid. 7.3). Exclusion d'une action en responsabilité (consid. 7.4). Subsidiarité du contrôle spécial (consid. 7.5).</w:t>
      </w:r>
    </w:p>
    <w:p>
      <w:r>
        <w:t>Regesto Contestazione dell'elezione dell'ufficio di revisione (art. 706 CO); interesse giuridicamente protetto. Interesse giuridicamente protetto a ottenere un giudizio sull'azione con la quale vengono contestate le deliberazioni dell'assemblea generale concernenti l'elezione dell'ufficio di revisione rispettivamente dell'organo incaricato di verificare i conti del gruppo per gli anni trascorsi, dopo che, pendente causa, l'ufficio di revisione - asseritamente - non indipendente ha rinunciato a ripresentarsi per la rielezione e che i conti annuali da lui precedentemente verificati sono stati approvati senza contestazioni (consid. 7). Portata dei diritti d'informazione degli azionisti e concetto d'informazione nel diritto della società anonima (consid. 7.2). Compiti dell'ufficio di revisione e importanza del rapporto di revisione allestito da un ufficio di revisione indipendente (consid. 7.3). Esclusione di un'azione di responsabilità (consid. 7.4). Sussidiarietà della verifica speciale (consid. 7.5).</w:t>
      </w:r>
    </w:p>
    <w:p>
      <w:pPr>
        <w:pStyle w:val="Heading2"/>
      </w:pPr>
      <w:r>
        <w:t>Erwägungen</w:t>
      </w:r>
    </w:p>
    <w:p>
      <w:r>
        <w:rPr>
          <w:b/>
        </w:rPr>
        <w:t>E. 7</w:t>
      </w:r>
    </w:p>
    <w:p>
      <w:r>
        <w:t>Die Klägerin begründete ihr im vorinstanzlichen Verfahren gestelltes Begehren um Aufhebung der Beschlüsse über die Wahl der C. AG als Revisionsstelle und Konzernprüferin der beklagten BGE 133 III 453 S. 456 Gesellschaft für die Jahre 2000 bis 2004 mit der fehlenden Unabhängigkeit im Sinne von Art. 727c OR . Ob die Klägerin ein Rechtsschutzinteresse an der Beurteilung der Anfechtungsklage hat, bestimmt sich danach, ob sich die Gutheissung ihres Klagebegehrens positiv auf ihre rechtliche Situation auswirken würde ( BGE 122 III 279 E. 3a). Bei der Beurteilung des Rechtsschutzinteresses ist daher von der Annahme auszugehen, die Sachverhaltsdarstellung und die Rechtsauffassung der Klägerin seien richtig, mithin die C. AG sei keine unabhängige Revisionsgesellschaft.</w:t>
      </w:r>
    </w:p>
    <w:p>
      <w:r>
        <w:rPr>
          <w:b/>
        </w:rPr>
        <w:t>E. 7.1</w:t>
      </w:r>
    </w:p>
    <w:p>
      <w:r>
        <w:t>Die Vorinstanz verneinte im angefochtenen Entscheid ein Rechtsschutzinteresse der Klägerin an einer Aufhebung der Wahlbeschlüsse und der Einsetzung einer neuen Revisionsstelle für die Geschäftsjahre 2000 bis 2004, weil die Beschlüsse der Generalversammlung über die Genehmigung der entsprechenden Jahresrechnungen ergangen und von der Klägerin nicht angefochten worden seien. Eine Nichtigkeit dieser Beschlüsse sei zu verneinen, da bei der Beschlussfassung unstrittig Revisions- bzw. Prüfungsberichte der gewählten Revisoren und Konzernprüfer vorgelegen hätten. Die nachträgliche Erarbeitung neuer Revisionsberichte erscheine als blosser Selbstzweck. Diese Argumentation greift zu kurz.</w:t>
      </w:r>
    </w:p>
    <w:p>
      <w:r>
        <w:rPr>
          <w:b/>
        </w:rPr>
        <w:t>E. 7.2</w:t>
      </w:r>
    </w:p>
    <w:p>
      <w:r>
        <w:t>Ausgangspunkt für die Geltendmachung von Aktionärsrechten, und damit auch grundlegendes Schutzrecht des Aktionärs überhaupt, ist sein Recht auf Information (FORSTMOSER/MEIER-HAYOZ/NOBEL, Schweizerisches Aktienrecht, Bern 1996, § 40 Rz. 141). Damit der Aktionär seine Kapitalanlage beurteilen und richtige Entscheide über seine Investition bzw. Desinvestition, d.h. die Veräusserung seiner Aktien, treffen kann, muss er über die Gesellschaft informiert sein und einen Einblick in deren wirtschaftliche Lage haben. Eine angemessene Information bildet sodann unabdingbare Voraussetzung für die Geltendmachung seiner Mitverwaltungsrechte und besonders des Stimmrechts sowie die Grundlage für eine Kontrolle und eine eventuelle Haftbarmachung der Gesellschaftsorgane. Die Informationsrechte dienen den Individualinteressen der Aktionäre. Sie sind zugleich aber auch Voraussetzung für die Funktionsfähigkeit der Generalversammlung als obersten Organs der Gesellschaft (WEBER, Basler Kommentar, N. 1 zu Art. 696 OR ; FORSTMOSER/ MEIER-HAYOZ/NOBEL, a.a.O., § 40 Rz. 146 f.; FELIX HORBER, Die Informationsrechte des Aktionärs, Eine systematische Darstellung, Zürich 1995, S. 25 ff.; vgl. auch BGE 132 III 71 E. 1.3; BGE 109 II 47 E. 2 S. 48 und E. 3b S. 50, je mit Hinweisen). BGE 133 III 453 S. 457 Um unterschiedlichen Situationen und Aktionärsbedürfnissen Rechnung zu tragen, sieht das Gesetz ein dreistufiges Informationskonzept vor. Auf der ersten Stufe verlangt Art. 696 OR im Wesentlichen, dass der Geschäftsbericht, der u.a. die Jahresrechnung umfasst, sowie der Revisionsbericht vor der ordentlichen Generalversammlung spontan bekannt gegeben werden. Weiter sieht diese Bestimmung vor, dass der von der Generalversammlung genehmigte Geschäftsbericht und der Revisionsbericht während eines Jahres nach Abhaltung der Versammlung auf Verlangen eines Aktionärs herauszugeben sind. Art. 697 OR gibt dem Aktionär auf zweiter Stufe ein weiter gehendes Auskunfts- und Einsichtsrecht auf dessen Begehren (vgl. dazu BGE 132 III 71 sowie das Urteil 4C.234/ 2002 vom 4. Juni 2003, publ. in: Pra 93/2004 Nr. 68 S. 390). Auf dritter Stufe wird in den Art. 697a-697g OR mit dem subsidiär geltend zu machenden Institut der Sonderprüfung versucht, den Konflikt zwischen Offenlegungs- und Geheimhaltungsinteressen durch Zwischenschaltung eines Dritten zu überbrücken (vgl. dazu BGE 123 III 261 ; BGE 120 II 393 E. 4 S. 396; zum Ganzen: WEBER, a.a.O., N. 1 zu Art. 696 OR ; FORSTMOSER/MEIER-HAYOZ/NOBEL, a.a.O., § 40 Rz. 149 ff.). Einer ordnungsgemässen Rechnungslegung kommt im Rahmen aller aktienrechtlichen Vorschriften eine zentrale Bedeutung zu (vgl. BÖCKLI, Schweizer Aktienrecht, 3. Aufl., Zürich/Basel/Genf 2004, § 8 Rz. 12 ff., der die Rechnungslegung als entscheidenden Kreuzweg aller aktienrechtlichen Vorschriften bezeichnet). Die Buchführung dient in erster Linie der Selbstinformation des Unternehmens und damit der Förderung der Interessen der Betriebsangehörigen. Ebenso beruhen die aktienrechtlichen Bestimmungen über die Rechnungslegung auf dem Gedanken der Kapitalerhaltung und stellen einen zentralen Ansatzpunkt für die Verantwortlichkeit des Verwaltungsrates und der Geschäftsleitung dar. Die Buchführung dient damit einerseits den Kapitaleignern, in deren Auftrag Verwaltung und Geschäftsleitung tätig sind, andererseits den Gläubigern und schliesslich, bei hinreichender wirtschaftlicher Bedeutung, auch einer weiteren Öffentlichkeit zur Information über die Ertragslage der Gesellschaft. Schliesslich erfüllt sie als Informationsgrundlage des Verwaltungsrates auch die Funktion eines Führungsinstruments. Sie bildet eine wichtige Voraussetzung für die Ausübung verschiedener Schutzrechte durch die Gesellschafter ( BGE 132 IV 12 E. 9.3.3 S. 19; BGE 122 IV 25 E. 2b mit Hinweisen). BGE 133 III 453 S. 458</w:t>
      </w:r>
    </w:p>
    <w:p>
      <w:r>
        <w:rPr>
          <w:b/>
        </w:rPr>
        <w:t>E. 7.3</w:t>
      </w:r>
    </w:p>
    <w:p>
      <w:r>
        <w:t>Dem Revisionsbericht kommt in diesem Zusammenhang besondere Bedeutung zu, weil den Aktionären Einsichts- und Kontrollrechte nach Art. 697 OR in finanziellen Belangen nur so weit gewährt werden, als dies nach der ordnungsgemässen Prüfung von Buchhaltung und Jahres- bzw. Konzernrechnung durch die Revisionsstelle erforderlich ist und sich mit der Wahrung der Geschäftsgeheimnisse verträgt (vgl. BGE 132 III 71 E. 1.3.2 S. 77 und 1.3.5 S. 80; BGE 132 IV 12 E. 9.3.3 S. 20). Die Revisionsstelle, deren Wahl vorliegend angefochten wurde, soll garantieren, dass die Einsichtsrechte der Aktionäre und Gläubiger in die Jahresrechnung nicht dadurch entleert werden, dass unvollständige oder falsche Zahlen präsentiert werden (WATTER, Basler Kommentar, N. 1 zu Art. 727 OR ). Sie hat nach Art. 728 Abs. 1 OR u.a. zu prüfen, ob die Buchführung und die Jahresrechnung sowie der Antrag über die Verwendung des Bilanzgewinns Gesetz und Statuten entsprechen. Damit eine solche Überprüfung sachlich einwandfreie Folgerungen erlaubt, hat sich die Revisionsstelle zu vergewissern, dass die in der Bilanz aufgeführten Aktiven vorhanden und die Passiven der Gesellschaft vollständig erfasst sind. Sie muss andererseits nicht die richtige Bewertung der Aktiven schlechthin, sondern die Einhaltung der gesetzlichen und statutarischen Bewertungsgrundsätze überprüfen ( BGE 112 II 461 E. 3c S. 462; Urteil des Bundesgerichts vom 11. November 1975 i.S. IBZ, E. 3c, publ. in: ZR 75/1976 Nr. 21 S. 75). Ebenso wenig ist die Kontrollstelle allgemein verpflichtet, die Geschäftsführung der Gesellschaft zu kontrollieren und systematisch nach eventuellen Unregelmässigkeiten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 Art. 729b OR ). Diese Pflicht ist nicht auf den Prüfungsgegenstand der Revisionstätigkeit beschränkt, sondern bezieht sich auf alle festgestellten Unregelmässigkeiten ( BGE 129 III 129 E. 7.1 S. 130 mit Hinweisen). Eine Meldung an die Generalversammlung ist insbesondere angebracht, wenn nach den Abklärungen der Revisionsstelle und nach Anhörung des Verwaltungsrates eine Verletzung des Gesetzes in einem wichtigen Fall vorliegt und dadurch die Gesellschaft offensichtlich geschädigt ist oder geschädigt zu werden droht (BÖCKLI, a.a.O., § 15 Rz. 175; vgl. dazu auch WATTER, a.a.O., N. 2 f. zu Art. 729b OR sowie FORSTMOSER/MEIER-HAYOZ/ BGE 133 III 453 S. 459 NOBEL, a.a.O., § 33 Rz. 59 ff.). Zu denken ist dabei beispielsweise an Fälle von verdeckten Gewinnausschüttungen oder von schwerwiegenden deliktischen Handlungen (BÖCKLI, a.a.O., § 15 Rz. 110 ff., 130, 170). Diese Umschreibung der Aufgaben der Revisionsstelle gilt im Wesentlichen für den Konzernprüfer sinngemäss ( Art. 731a Abs. 2 OR ; vgl. dazu BÖCKLI, a.a.O., § 15 Rz. 115 ff., 136; WATTER, a.a.O., Rz. 7 ff. [vgl. zum Ganzen das Urteil 4P.208/2003 vom 12. Oktober 2004, E. 2.4.1]). Wird die Jahresrechnung durch eine nicht unabhängige Revisionsstelle geprüft, wie es die Klägerin für den vorliegenden Fall behauptet, besteht die Gefahr, dass sie der Generalversammlung allfällige schädigende Unregelmässigkeiten bei der Geschäftsführung oder Verstösse gegen die Vorschriften ordnungsgemässer Rechnungslegung nicht anzeigt. Damit wird die Zuverlässigkeit der Jahresrechnung und damit des Geschäftsberichtes als das von den Aktionären primär auszuschöpfende Informationsmittel, das ihnen eine sinnvolle Ausübung ihrer Aktionärsrechte ermöglichen soll (vorstehende E. 7.2), in Frage gestellt. Folge eines die Anfechtungsklage gutheissenden Urteils wäre, dass die C. AG für die Geschäftsjahre 2000 bis 2004 (ex tunc; BGE 122 III 279 E. 2 S. 281) nicht als gesetzmässige Revisionsstelle gelten könnte und dass somit die Beklagte für diese Geschäftsjahre über keine gesetzmässige Revisionsstelle verfügt hätte. Damit wäre für die Klägerin der Weg frei, für diese Jahre die Wahl einer neuen, den gesetzlichen Anforderungen an die Unabhängigkeit und Befähigung genügende Revisionsstelle zu verlangen (vgl. Art. 727f OR ), welche die entsprechenden Jahresrechnungen prüft, der Generalversammlung darüber und über allfällige anzuzeigende Unregelmässigkeiten Bericht erstattet. Auf diesem Weg können die Unsicherheiten beseitigt werden, die der Information anhaften, welche einer durch eine nicht unabhängige Revisionsstelle geprüften Jahresrechnung zu entnehmen ist. Auch werden möglicherweise allfällige Unregelmässigkeiten aufgedeckt, welche die Klägerin nicht selber feststellen kann. Daran besteht für die Klägerin grundsätzlich auch für vergangene Geschäftsjahre ein Interesse, und zwar unabhängig davon, ob die Jahresrechnungen für diese Jahre von der Generalversammlung genehmigt worden sind und allenfalls nach einer Beschlussfassung über die Verwendung des Bilanzgewinns ( Art. 698 Abs. 2 Ziff. 5 BGE 133 III 453 S. 460 OR ) gewisse irreversible Fakten geschaffen worden sind. Die Aufdeckung von allfälligen Unregelmässigkeiten in den früheren Geschäftsjahren und die Beseitigung diesbezüglicher Unsicherheiten werden durch die Genehmigung der entsprechenden Jahresrechnungen nicht bedeutungslos. Vielmehr können sie Grundlage für die Wahrnehmung von Aktionärsrechten bilden, wie beispielsweise die Haftbarmachung von Gesellschaftsorganen, die künftige Ausübung des Stimmrechts, bei der Unregelmässigkeiten Rechnung getragen werden kann, oder die Veräusserung von Aktien (vorstehende E. 7.2; vgl. dazu auch BGE 109 II 47 E. 2 S. 48; vgl. dazu auch PETER SCHLOSSER, Gestaltungsklagen und Gestaltungsurteile, Bielefeld 1966, S. 334). Demnach ist auch nicht entscheiderheblich und kann offenbleiben, ob die Beschlüsse über die Genehmigung der Jahresrechnungen bei einer Aufhebung der Wahlbeschlüsse wegen fehlender Unabhängigkeit der Revisionsstelle als nichtig dahinfallen oder nicht.</w:t>
      </w:r>
    </w:p>
    <w:p>
      <w:r>
        <w:rPr>
          <w:b/>
        </w:rPr>
        <w:t>E. 7.4</w:t>
      </w:r>
    </w:p>
    <w:p>
      <w:r>
        <w:t>Die Beklagte beruft sich auf eine bundesgerichtliche Rechtsprechung, nach der eine Anfechtungsklage gegenüber den Beschlüssen der Generalversammlung unzulässig ist, wenn sie sich auf einen Sachverhalt stützt, der Gegenstand einer Verantwortlichkeitsklage gegen die Gesellschaftsorgane bilden kann ( BGE 100 II 384 E. 2a S. 389; BGE 92 II 243 E. 2; BGE 81 II 462 E. III/1b S. 464 f.; diese Praxis wird von der herrschenden Lehre kritisiert: TANNER, Zürcher Kommentar, N. 30 ff. zu Art. 706 OR ; FORSTMOSER/MEIER-HAYOZ/NOBEL, a.a.O., § 25 Rz. 7; JEAN NICOLAS DRUEY, Mängel des GV-Beschlusses, in: Druey/Forstmoser [Hrsg.], Rechtsfragen um die Generalversammlung, Zürich 1997, S. 135 [vgl. im Übrigen die Relativierung der Rechtsprechung in BGE 121 III 219 E. 1d/cc S. 233; BGE 117 II 290 E. 4e/bb S. 304 f.]). Damit vermag sie indessen das dargelegte Interesse der Klägerin an der Anfechtung der Beschlüsse über die Wahl der C. AG als Revisionsstelle für die Jahre 2000 bis 2004 nicht in Frage zu stellen. So ist nicht ersichtlich und wird von der Beklagten auch nicht dargetan, inwiefern der behauptete Tatbestand der fehlenden Unabhängigkeit der Revisionsstelle Gegenstand einer Verantwortlichkeitsklage bilden könnte. Wie die Beklagte selber einräumt, wird die fehlende Unabhängigkeit per se kaum je zu einem Schaden führen, sondern erst dann, wenn sie sich in schadensverursachenden Pflichtverletzungen manifestiert (WATTER, a.a.O., N. 19 zu Art. 727c OR ). Zwar macht sie - wenn auch in anderem Zusammenhang - geltend, die Klägerin begründe die BGE 133 III 453 S. 461 angeblich fehlende Unabhängigkeit der C. AG einzig mit Pflichtverletzungen derselben. Diese Behauptung findet indessen im angefochtenen Beschluss keine Stütze, weshalb die Beklagte damit mangels Sachverhaltsrüge nach Art. 63 Abs. 2 und Art. 64 OG nicht zu hören ist.</w:t>
      </w:r>
    </w:p>
    <w:p>
      <w:r>
        <w:rPr>
          <w:b/>
        </w:rPr>
        <w:t>E. 7.5</w:t>
      </w:r>
    </w:p>
    <w:p>
      <w:r>
        <w:t>Weiter bringt die Beklagte vor, der Klägerin stehe zur Vorbereitung einer Schadenersatzklage gegen die Organe der Gesellschaft das Institut der Sonderprüfung zur Verfügung, wobei sie sich auf die Behauptungen stützt, die Klägerin begründe die angeblich fehlende Unabhängigkeit der C. AG einzig mit angeblichen Rechnungslegungsverstössen der Beklagten im Zusammenhang mit dem sogenannten "E.-Darlehen" und sie mache nicht geltend, ihr schützenswertes Interesse bestehe in allfälligen neuen Erkenntnissen aufgrund neu zu erstellender Revisionsberichte. Da die Vorinstanz dazu indes keine Feststellungen getroffen hat und die Beklagte keine Sachverhaltsrügen nach Art. 63 Abs. 2 und Art. 64 OG erhebt, kann sie auch insoweit nicht gehört werden. Überdies hat die Sonderprüfung grundsätzlich nicht zum Ziel, eine umfassende Bilanzprüfung durch eine gesetzmässige Revisionsstelle zu ersetzen, und kommt nur subsidiär als letztes Mittel zur Verbesserung der Informationslage des Aktionärs zum Zuge, wenn das Auskunfts- und Einsichtsrecht keine Hilfe bringt (vgl. BGE 133 III 133 E. 3.2 S. 135; BGE 123 III 261 E. 3; WEBER, a.a.O., N. 2 zu Art. 697a OR ; FORSTMOSER/MEIER-HAYOZ/NOBEL, a.a.O., § 35 Rz. 8 f; HORBER, a.a.O., S. 344 Rz. 1072 und S. 346 ff.). Solange der primäre - ohne besonderes Verlangen des Aktionärs zu befriedigende - Informationsanspruch der Klägerin nicht erfüllt ist, weil ihr durch eine nicht unabhängige Revisionsstelle geprüfte Jahresrechnungen unterbreitet wurden, muss sie sich nicht auf das Institut der Sonderprüfung verweisen lassen.</w:t>
      </w:r>
    </w:p>
    <w:p>
      <w:r>
        <w:rPr>
          <w:b/>
        </w:rPr>
        <w:t>E. 7.6</w:t>
      </w:r>
    </w:p>
    <w:p>
      <w:r>
        <w:t>Zusammenfassend hat die Vorinstanz ein Interesse der Klägerin an der Beurteilung der vereinigten Anfechtungsklagen gegen die Wahl der C. AG als Revisionsstelle und Konzernprüferin der Beklagten für die Jahre 2000 bis 2004 zu Unrecht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