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393</w:t>
      </w:r>
    </w:p>
    <w:p>
      <w:r>
        <w:t>Bundesgericht (BGE), 2007-05-22, DE</w:t>
      </w:r>
    </w:p>
    <w:p>
      <w:r>
        <w:rPr>
          <w:b/>
        </w:rPr>
        <w:t xml:space="preserve">Quelle: </w:t>
      </w:r>
      <w:r>
        <w:t>https://mcp.opencaselaw.ch/entscheid/bge_BGE_133_III_393</w:t>
      </w:r>
    </w:p>
    <w:p>
      <w:r>
        <w:t>FR: ATF 133 III 393</w:t>
      </w:r>
    </w:p>
    <w:p>
      <w:r>
        <w:t>IT: DTF 133 III 393</w:t>
      </w:r>
    </w:p>
    <w:p>
      <w:pPr>
        <w:pStyle w:val="Heading2"/>
      </w:pPr>
      <w:r>
        <w:t>Regeste</w:t>
      </w:r>
    </w:p>
    <w:p>
      <w:r>
        <w:t>Regeste Massnahmen zum Schutz der ehelichen Gemeinschaft (Art. 172 ff. ZGB); Art. 72 Abs. 1, Art. 90, 98, 99 Abs. 1, Art. 106 Abs. 2 BGG. Die Anordnung von Eheschutzmassnahmen ist eine Zivilsache im Sinne von Art. 72 Abs. 1 BGG (E. 2). Noven (E. 3). Eheschutzentscheide sind Endentscheide im Sinne von Art. 90 BGG (E. 4). Eheschutzentscheide sind Entscheide über vorsorgliche Massnahmen im Sinne von Art. 98 BGG; gegen sie kann nur die Verletzung verfassungsmässiger Rechte gerügt werden (E. 5). Aus Art. 106 Abs. 2 BGG ergibt sich, dass klar und detailliert darzulegen ist, inwiefern verfassungsmässige Rechte verletzt worden sein sollen (E. 6). Im Falle einer Art. 98 BGG unterstehenden Beschwerde kommt eine Berichtigung oder Ergänzung von Sachverhaltsfeststellungen nur dann in Frage, wenn die kantonale Instanz verfassungsmässige Rechte verletzt hat (E. 7.1).</w:t>
      </w:r>
    </w:p>
    <w:p>
      <w:r>
        <w:t>Regeste Mesures protectrices de l'union conjugale (art. 172 ss CC); art. 72 al. 1, art. 90, 98, 99 al. 1, art. 106 al. 2 LTF. Le prononcé de mesures protectrices de l'union conjugale est rendu en matière civile au sens de l'art. 72 al. 1 LTF (consid. 2). Nova (consid. 3). Les mesures protectrices de l'union conjugale constituent des décisions finales au sens de l'art. 90 LTF (consid. 4). Les mesures protectrices de l'union conjugale sont des mesures provisionnelles au sens de l'art. 98 LTF; seule peut donc être invoquée à leur encontre la violation de droits constitutionnels (consid. 5). Il résulte de l'art. 106 al. 2 LTF que le recourant doit exposer de manière claire et détaillée en quoi des droits constitutionnels auraient été violés (consid. 6). Dans l'hypothèse d'un recours soumis à l'art. 98 LTF, une rectification ou un complément des constatations de fait n'entrent en considération que si la juridiction cantonale a violé des droits constitutionnels (consid. 7.1).</w:t>
      </w:r>
    </w:p>
    <w:p>
      <w:r>
        <w:t>Regesto Misure a protezione dell'unione coniugale (art. 172 segg. CC); art. 72 cpv. 1, art. 90, 98, 99 cpv. 1, art. 106 cpv. 2 LTF. L'adozione di misure a protezione dell'unione coniugale rientra fra le decisioni pronunciate in materia civile ai sensi dell'art. 72 cpv. 1 LTF (consid. 2). Nova (consid. 3). Le decisioni in materia di protezione dell'unione coniugale sono decisioni finali ai sensi dell'art. 90 LTF (consid. 4). Le decisioni in materia di protezione dell'unione coniugale sono decisioni su misure cautelari ai sensi dell'art. 98 LTF; contro di esse può essere fatta valere solo la violazione di diritti costituzionali (consid. 5). Dall'art. 106 cpv. 2 LTF si evince che occorre spiegare in maniera chiara e dettagliata in che modo i diritti costituzionali sarebbero stati violati (consid. 6). Nel caso di un ricorso sottoposto all'art. 98 LTF è possibile procedere a una rettifica o a una completazione degli accertamenti di fatto solo qualora l'istanza cantonale abbia violato dei diritti costituzionali (consid. 7.1).</w:t>
      </w:r>
    </w:p>
    <w:p>
      <w:pPr>
        <w:pStyle w:val="Heading2"/>
      </w:pPr>
      <w:r>
        <w:t>Erwägungen</w:t>
      </w:r>
    </w:p>
    <w:p>
      <w:r>
        <w:rPr>
          <w:b/>
        </w:rPr>
        <w:t>E. 2</w:t>
      </w:r>
    </w:p>
    <w:p>
      <w:r>
        <w:t>Die Anordnung von Massnahmen zum Schutze der ehelichen Gemeinschaft ( Art. 172 ff. ZGB ) ist eine Zivilsache im Sinne von Art. 72 Abs. 1 BGG . Strittig ist die Unterhaltspflicht des Beschwerdeführers, mithin eine Frage vermögensrechtlicher Natur. Die Streitwertgrenze von 30'000 Franken (Art. 74 Abs. 1 lit. b des Bundesgesetzes vom 17. Juni 2005 über das Bundesgericht [BGG; SR 173.110]) ist angesichts der Höhe und der unbestimmten Dauer der der Beschwerdegegnerin zugesprochenen Unterhaltsbeiträge, deren Aufhebung der Beschwerdeführer verlangt, überschritten (vgl. Art. 51 Abs. 4 BGG ). Die vom Beschwerdeführer vorgebrachten Rügen können mit keinem kantonalen Rechtsmittel erhoben werden (vgl. §§ 335 ff. der Aargauer Zivilprozessordnung [ZPO]), so dass die Beschwerde in Zivilsachen auch aus der Sicht von Art. 75 Abs. 1 BGG offen steht.</w:t>
      </w:r>
    </w:p>
    <w:p>
      <w:r>
        <w:rPr>
          <w:b/>
        </w:rPr>
        <w:t>E. 3</w:t>
      </w:r>
    </w:p>
    <w:p>
      <w:r>
        <w:t>Der Beschwerdeführer legt neue Dokumente vor.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Die vom Beschwerdeführer hier vorgetragene blosse Behauptung, erst der angefochtene Entscheid habe Anlass zur Nachreichung von Dokumenten gegeben, ist unzureichend. Die neu ins Recht gelegten Schriftstücke sind daher unbeachtlich.</w:t>
      </w:r>
    </w:p>
    <w:p>
      <w:r>
        <w:rPr>
          <w:b/>
        </w:rPr>
        <w:t>E. 4</w:t>
      </w:r>
    </w:p>
    <w:p>
      <w:r>
        <w:t>Unter der Herrschaft des Bundesrechtspflegegesetzes vom 16. Dezember 1943 (OG; BS 3 S. 531), das bis Ende 2006 in Kraft stand, galt ein im Eheschutzverfahren ergangener Entscheid der oberen kantonalen Instanz grundsätzlich nicht als Endentscheid im Sinne von Art. 48 Abs. 1 OG , so dass er nicht mit Berufung anfechtbar war; hingegen war (neben der eidgenössischen Nichtigkeitsbeschwerde) die staatsrechtliche Beschwerde zugelassen (dazu BGE 127 III 474 E. 2 S. 476 ff.). Zur Begründung wurde hauptsächlich darauf hingewiesen, dass Eheschutzentscheide regelmässig in einem summarischen Verfahren mit Beweismittel- und Beweisstrengebeschränkung ergingen, im Allgemeinen lediglich provisorischen Charakter hätten, erleichtert abänderbar seien und nicht in materielle Rechtskraft erwüchsen ( BGE 127 III 474 E. 2b/aa und 2b/bb S. 477 ff.). BGE 133 III 393 S. 396 Nach dem Bundesgerichtsgesetz sind Endentscheide Entscheide, die das Verfahren abschliessen ( Art. 90 BGG ). Aus der Sicht dieses rein prozessualen Kriteriums haben nunmehr auch Entscheide in Eheschutzsachen als Endentscheide zu gelten (so auch die Botschaft vom 28. Februar 2001 zur Totalrevision der Bundesrechtspflege, BBl 2001 S. 4331 Ziff. 4.1.4.1).</w:t>
      </w:r>
    </w:p>
    <w:p>
      <w:r>
        <w:rPr>
          <w:b/>
        </w:rPr>
        <w:t>E. 5</w:t>
      </w:r>
    </w:p>
    <w:p>
      <w:r>
        <w:t>Der Beschwerdeführer rügt hauptsächlich eine Verletzung der Art. 176 und 163 ZGB . Angesichts der Natur von Eheschutzmassnahmen drängt sich die Frage auf, ob sie nicht als vorsorgliche Massnahmen im Sinne von Art. 98 BGG zu betrachten seien. Nach dieser Bestimmung kann mit der Beschwerde gegen entsprechende Entscheide nur die Verletzung verfassungsmässiger Rechte gerügt werden.</w:t>
      </w:r>
    </w:p>
    <w:p>
      <w:r>
        <w:rPr>
          <w:b/>
        </w:rPr>
        <w:t>E. 5.1</w:t>
      </w:r>
    </w:p>
    <w:p>
      <w:r>
        <w:t>Laut Botschaft zum neuen Gesetz (a.a.O., S. 4336) sind unter vorsorglichen Massnahmen im Sinne von Art. 98 BGG einstweilige Verfügungen zu verstehen, die eine rechtliche Frage so lange regeln, bis über sie in einem späteren Hauptentscheid definitiv entschieden wird. Eheschutzentscheide sind insoweit mehr als nur vorläufiger Natur, als sie nicht in einem nachfolgenden ordentlichen Verfahren unbeschränkt überprüft werden ( BGE 127 III 474 E. 2b/bb S. 478). Provisorischer Charakter eignet ihnen in der Regel dagegen insoweit, als die in den Art. 172 ff. ZGB vorgesehenen Massnahmen nur solange aufrecht bleiben, als aussergewöhnliche Verhältnisse ihren Bestand erfordern: Nehmen die Ehegatten das Zusammenleben wieder auf, fallen, mit Ausnahme der Gütertrennung und der Kindesschutzmassnahmen, die für das Getrenntleben angeordneten Vorkehren ohne weiteres dahin ( Art. 179 Abs. 2 ZGB ). Falls die Verhältnisse sich geändert haben, kann das Gericht auf Begehren eines Ehegatten die Massnahmen mit Wirkung für die Zukunft anpassen oder aufheben, wenn ihr Grund weggefallen ist ( Art. 179 Abs. 1 ZGB ). In dieser im Vergleich zu anderen Sachurteilen erleichterten Abänderbarkeit liegt denn auch einer der Gründe, weshalb Entscheide über Eheschutzmassnahmen nicht in materielle Rechtskraft erwachsen ( BGE 127 III 474 E. 2b/aa S. 477 mit Hinweisen). Während ein Entscheid, dem unbeschränkte Rechtskraft zukommen soll, eine eingehende und umfassende Abklärung des Sachverhalts voraussetzt, ist bei Eheschutzmassnahmen charakteristisch, dass sie in der Regel - so auch vorliegend - in einem summarischen Verfahren angeordnet werden, wo namentlich blosses Glaubhaftmachen genügt. BGE 133 III 393 S. 397 Ferner fällt in Betracht, dass Eheschutzmassnahmen seit Inkrafttreten des neuen Scheidungsrechts (1. Januar 2000) in zunehmendem Masse dazu dienen, die Folgen des für eine Scheidung nach Art. 114 ZGB erforderlichen Getrenntlebens (von ursprünglich vier und heute zwei Jahren) zu regeln. Es kommt ihnen aus dieser Sicht eine ähnliche Bedeutung zu wie den vorsorglichen Massnahmen, die gestützt auf Art. 137 ZGB für die Dauer des Scheidungsverfahrens angeordnet werden. Eheschutzmassnahmen bleiben im Übrigen über den Zeitpunkt der Einleitung eines Scheidungsverfahrens hinaus bestehen, solange sie nicht durch Vorkehren im Sinne dieser Bestimmung abgeändert werden ( BGE 129 III 60 E. 2 S. 61). Dass Anordnungen nach Art. 137 ZGB unter die eingangs angeführte Umschreibung vorsorglicher Massnahmen im Sinne von Art. 98 BGG fallen, steht ausser Zweifel.</w:t>
      </w:r>
    </w:p>
    <w:p>
      <w:r>
        <w:rPr>
          <w:b/>
        </w:rPr>
        <w:t>E. 5.2</w:t>
      </w:r>
    </w:p>
    <w:p>
      <w:r>
        <w:t>Unter den dargelegten Umständen rechtfertigt es sich, auch Eheschutzmassnahmen grundsätzlich Art. 98 BGG zu unterstellen. Eine andere Behandlung würde dazu führen, dass für Eheschutzmassnahmen mehr Beschwerdegründe zugelassen wären als für die allenfalls an sie anschliessenden vorsorglichen Massnahmen nach Art. 137 Abs. 2 ZGB . Ob ausnahmslos allen denkbaren Eheschutzmassnahmen im Sinne des Gesagten bloss provisorischer Charakter beizumessen ist und entsprechende Entscheide Art. 98 BGG unterstehen oder ob beispielsweise im Falle der Anordnung der Gütertrennung ( Art. 176 Abs. 1 Ziff. 3 ZGB ) die Verhältnisse anders zu beurteilen wären (dazu BGE 127 III 474 E. 2b/aa S. 477 f.), mag hier, wo es ausschliesslich um die Unterhaltspflicht geht, offenbleiben.</w:t>
      </w:r>
    </w:p>
    <w:p>
      <w:r>
        <w:rPr>
          <w:b/>
        </w:rPr>
        <w:t>E. 6</w:t>
      </w:r>
    </w:p>
    <w:p>
      <w:r>
        <w:t>Die Verletzung von Grundrechten, wie sie aufgrund von Art. 98 BGG einzig geltend gemacht werden kann, prüft das Bundesgericht nur insofern, als eine solche Rüge in der Beschwerde vorgebracht und begründet worden ist ( Art. 106 Abs. 2 BGG ). Das bedeutet, dass - entsprechend den altrechtlichen Begründungsanforderungen von Art. 90 Abs. 1 lit. b OG (dazu Botschaft, a.a.O., S. 4294) - klar und detailliert anhand der Erwägungen des angefochtenen Entscheids darzulegen ist, inwiefern verfassungsmässige Rechte verletzt worden sein sollen (vgl. BGE 130 I 258 E. 1.3 S. 261 f. mit Hinweisen).</w:t>
      </w:r>
    </w:p>
    <w:p>
      <w:r>
        <w:rPr>
          <w:b/>
        </w:rPr>
        <w:t>E. 7</w:t>
      </w:r>
    </w:p>
    <w:p>
      <w:r>
        <w:t>Der Beschwerdeführer wirft dem Obergericht vor, es habe den Sachverhalt unrichtig festgestellt, und verlangt, dieser sei (in Anwendung von Art. 105 Abs. 2 BGG ) von Amtes wegen richtigzustellen. BGE 133 III 393 S. 398</w:t>
      </w:r>
    </w:p>
    <w:p>
      <w:r>
        <w:rPr>
          <w:b/>
        </w:rPr>
        <w:t>E. 7.1</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nach dem oben (E. 5.2) Ausgeführten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BGE 128 I 81 E. 2 S. 86; BGE 120 Ia 31 E. 4b S. 40, mit Hinweisen).</w:t>
      </w:r>
    </w:p>
    <w:p>
      <w:r>
        <w:rPr>
          <w:b/>
        </w:rPr>
        <w:t>E. 7.2</w:t>
      </w:r>
    </w:p>
    <w:p>
      <w:r>
        <w:t>Der Beschwerdeführer beanstandet die Annahme des Obergerichts, es sei bei ihm von einem massgeblichen Einkommen von monatlich Fr. 6'800.- auszugehen. Sein Vorbringen, er sei im Zeitpunkt der Fällung des angefochtenen Entscheids ohne Einkommen und massiv verschuldet gewesen, sucht er mit unzulässigen neuen Ausführungen und Schriftstücken (vgl. oben E. 3) zu belegen. Mit den eingehenden Erwägungen der Vorinstanz zu seinen Einkommensverhältnissen setzt er sich in keiner Weise auseinander, und er legt denn auch nicht in einer den Anforderungen von Art. 106 Abs. 2 BGG genügenden Form dar, inwiefern sie verfassungswidrig sein sollen. Soweit der Beschwerdeführer die dem Bundesgericht gegebene Möglichkeit anspricht, Sachverhaltsfeststellungen wegen offensichtlicher Unrichtigkeit zu berichtigen bzw. zu BGE 133 III 393 S. 399 ergänzen ( Art. 105 Abs. 2 BGG ), ist zu bemerken, dass von einer solchen - im Sinne der Rechtsprechung zum früheren Recht ( Art. 63 Abs. 2 OG ) - nur dann die Rede sein kann, wenn die kantonale Instanz eine bestimmte Aktenstelle übersehen oder unrichtig, d.h. nicht in ihrer wahren Gestalt, insbesondere nicht mit ihrem wirklichen Wortlaut, wahrgenommen hat ( BGE 115 II 399 E. 2a S. 399 f.; BGE 109 II 159 E. 2b S. 162, mit Hinweisen). Ein derartiger Mangel, der zudem eine bestimmte Tatsachenfeststellung als willkürlich erscheinen lassen müsste, ist hier indessen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