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356</w:t>
      </w:r>
    </w:p>
    <w:p>
      <w:r>
        <w:t>Bundesgericht (BGE), 2007-03-13, DE</w:t>
      </w:r>
    </w:p>
    <w:p>
      <w:r>
        <w:rPr>
          <w:b/>
        </w:rPr>
        <w:t xml:space="preserve">Quelle: </w:t>
      </w:r>
      <w:r>
        <w:t>https://mcp.opencaselaw.ch/entscheid/bge_BGE_133_III_356</w:t>
      </w:r>
    </w:p>
    <w:p>
      <w:r>
        <w:t>FR: ATF 133 III 356</w:t>
      </w:r>
    </w:p>
    <w:p>
      <w:r>
        <w:t>IT: DTF 133 III 356</w:t>
      </w:r>
    </w:p>
    <w:p>
      <w:pPr>
        <w:pStyle w:val="Heading2"/>
      </w:pPr>
      <w:r>
        <w:t>Regeste</w:t>
      </w:r>
    </w:p>
    <w:p>
      <w:r>
        <w:t>Regeste Verjährung des Rückforderungsanspruchs für irrtümlich erbrachte Leistungen (Art. 67 und 127 OR). Erbringt der Schuldner irrtümlich Leistungen, die gemäss Vertrag nicht geschuldet sind, untersteht sein Rückforderungsanspruch nicht der vertraglichen, sondern der bereicherungsrechtlichen Verjährungsfrist (E. 3).</w:t>
      </w:r>
    </w:p>
    <w:p>
      <w:r>
        <w:t>Regeste Prescription de l'action en restitution en cas de prestations fournies par erreur (art. 67 et 127 CO). Si le débiteur fournit par erreur des prestations qui n'étaient pas dues selon le contrat, l'action en restitution qu'il intente n'est pas soumise au délai de prescription contractuel, mais au délai de prescription en matière d'enrichissement illégitime (consid. 3).</w:t>
      </w:r>
    </w:p>
    <w:p>
      <w:r>
        <w:t>Regesto Prescrizione dell'azione tendente alla restituzione di prestazioni fornite per errore (art. 67 e 127 CO). Qualora il debitore fornisca per errore prestazioni che non erano dovute secondo il contratto, la sua azione di restituzione non soggiace al termine di prescrizione contrattuale bensì a quello dell'arricchimento indebito (consid. 3).</w:t>
      </w:r>
    </w:p>
    <w:p>
      <w:pPr>
        <w:pStyle w:val="Heading2"/>
      </w:pPr>
      <w:r>
        <w:t>Erwägungen</w:t>
      </w:r>
    </w:p>
    <w:p>
      <w:r>
        <w:rPr>
          <w:b/>
        </w:rPr>
        <w:t>E. 3</w:t>
      </w:r>
    </w:p>
    <w:p>
      <w:r>
        <w:t>Da sich die Berufung auf einen Schulderlass als unbehelflich erwiesen und die Beklagte einredeweise geltend gemacht hat, die Forderung sei gemäss Art. 67 Abs. 1 OR verjährt, ist zu prüfen, ob die Auffassung der Vorinstanz, der von der Klägerin geltend gemachte Anspruch unterstehe jedenfalls der zehnjährigen Verjährungsfrist, vor Bundesrecht standhält.</w:t>
      </w:r>
    </w:p>
    <w:p>
      <w:r>
        <w:rPr>
          <w:b/>
        </w:rPr>
        <w:t>E. 3.1</w:t>
      </w:r>
    </w:p>
    <w:p>
      <w:r>
        <w:t>Die Vorinstanz hielt dafür, die Klägerin mache einen vertraglichen Anspruch geltend. Zwar habe die Rückzahlung der Klägerin nicht dem Ausgleich für bezogene Waren und Dienstleistungen gedient und demnach ausserhalb der im Kartenvertrag vorgesehenen Transaktionen gelegen, was für das Vorliegen eines ausservertraglichen Anspruchs sprechen würde. Diese Betrachtungsweise greift BGE 133 III 356 S. 358 indessen aus der Sicht der Vorinstanz zu kurz. Die Forderung der Klägerin sei aus der irrtümlichen Zahlung der Klägerin an die Beklagte entstanden, einer unvorhergesehenen, im Vertrag nicht ausdrücklich geregelten Situation. Diesbezüglich liege eine Lücke vor ( Art. 2 OR ), und der Vertrag sei entsprechend dem mutmasslichen Parteiwillen zu ergänzen. Dogmatisch sei davon auszugehen, dass die Vertragsparteien einer generellen Pflicht unterworfen seien, zur Rückabwicklung versehentlicher Zahlungen Hand zu bieten. Die vertraglich vereinbarte periodische Zusammenfassung der mit der Kreditkarte getätigten Bezüge in einer Rechnung komme zudem einem eigentlichen Kontokorrent nahe, in welchem nach ausdrücklicher Abrede Guthaben und Verbindlichkeiten periodisch zusammenzufassen und auszugleichen seien. Im Übrigen rechtfertige sich die Annahme der für vertragliche Ansprüche geltenden Verjährung auch im Lichte von BGE 126 III 122 , dem ein ähnlicher Fall zugrunde gelegen habe. Die Rückleistungspflicht stehe in unmittelbarem Zusammenhang zu einem gültigen Vertrag, weshalb nach Auffassung der Vorinstanz selbst dann die zehnjährige Verjährung zur Anwendung gelangt, wenn keine vertragliche Pflicht zur Rückzahlung bestehen und eine ungerechtfertigte Bereicherung im Sinne von Art. 62 OR vorliegen sollte.</w:t>
      </w:r>
    </w:p>
    <w:p>
      <w:r>
        <w:rPr>
          <w:b/>
        </w:rPr>
        <w:t>E. 3.2</w:t>
      </w:r>
    </w:p>
    <w:p>
      <w:r>
        <w:t>Wer in ungerechtfertigter Weise aus dem Vermögen eines andern bereichert worden ist, hat die Bereicherung zurückzuerstatten ( Art. 62 Abs. 1 OR ).</w:t>
      </w:r>
    </w:p>
    <w:p>
      <w:r>
        <w:rPr>
          <w:b/>
        </w:rPr>
        <w:t>E. 3.2.1</w:t>
      </w:r>
    </w:p>
    <w:p>
      <w:r>
        <w:t>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BGE 133 III 356 S. 359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 BGE 127 III 421 E. 3 S. 424 f.). Wer ohne jeglichen Vorbehalt in (vermeintlicher) Erfüllung des Vertrages mehr leistet als das vertraglich Geschuldete, kann die Differenz nach wie vor nur auf der Grundlage des Bereicherungsrechts zurückfordern ( BGE 130 III 504 E. 6.2 S. 510 f.; BGE 127 III 421 E. 3c/bb S. 426, je mit Hinweisen).</w:t>
      </w:r>
    </w:p>
    <w:p>
      <w:r>
        <w:rPr>
          <w:b/>
        </w:rPr>
        <w:t>E. 3.2.2</w:t>
      </w:r>
    </w:p>
    <w:p>
      <w:r>
        <w:t>Anders verhält es sich, wenn die erbrachte Leistung tatsächlich vertraglich geschuldet war, aber eine spätere Abrechnung vorbehalten wurde (vgl. BGE 126 III 119 E. 3e S. 123). Aber auch im vertraglichen Abrechnungsverhältnis ist nach erfolgter Saldoziehung die Korrektur einer Fehlbuchung über das Bereicherungsrecht auszugleichen (Urteil des Bundesgerichts 4C.264/1993 vom 23. Dezember 1993, E. 4a/bb, publ. in: SJ 1994 S. 269 ff.). Diese Rechtsprechung gelangt namentlich bei zu viel bezahlten Mietnebenkosten zur Anwendung (Urteil des Bundesgerichts 4C.24/2002 vom 29. April 2002, E. 3.3.2, publ. in: mp 2002 S. 163 ff., 168).</w:t>
      </w:r>
    </w:p>
    <w:p>
      <w:r>
        <w:rPr>
          <w:b/>
        </w:rPr>
        <w:t>E. 3.3</w:t>
      </w:r>
    </w:p>
    <w:p>
      <w:r>
        <w:t>Die Vorinstanz stützt ihre Auffassung einzig auf BGE 126 III 119 ff. und lässt die nachfolgenden Entscheide des Bundesgerichts zur Abgrenzung zwischen Vertrags- und Bereicherungsrecht ausser Acht, was dazu führt, dass sie die Tragweite des angeführten Entscheides verkennt.</w:t>
      </w:r>
    </w:p>
    <w:p>
      <w:r>
        <w:rPr>
          <w:b/>
        </w:rPr>
        <w:t>E. 3.3.1</w:t>
      </w:r>
    </w:p>
    <w:p>
      <w:r>
        <w:t>Wollte man es bei der von der Vorinstanz vorgenommenen "Lückenfüllung" bewenden lassen, wäre jegliche im Rahmen eines Vertragsverhältnisses irrtümlich und damit ohne Rechtspflicht erfolgte Leistung eine vertragliche, namentlich auch die Pflicht zur Rückerstattung einer derartigen Leistung. Diese Sichtweise hat sich das Bundesgericht gerade nicht zu eigen gemacht. Die Vorinstanz BGE 133 III 356 S. 360 stellt schlicht auf die irrige Annahme der Klägerin im Zeitpunkt der Erbringung der nunmehr zurückverlangten Leistung ab. Nach der bundesgerichtlichen Rechtsprechung ist aber bei der Qualifikation eines Rückforderungsanspruchs stets von der wahren Sachlage auszugehen. So wäre denn auch entgegen der Annahme der Vorinstanz eine Forderung der Beklagten gegenüber der Klägerin aus versehentlicher Überweisung eines höheren als des in Rechnung gestellten Betrages nach dem Gesagten keine vertragliche. Auch die Anwendung der 10-jährigen Verjährungsfrist wegen besonderer Nähe zum bestehenden Vertrag, welche die Vorinstanz für den Fall, dass keine vertragliche Rückgabepflicht besteht, befürwortet, lässt sich nach dem Gesagten im zu beurteilenden Fall nicht mit der bundesgerichtlichen Rechtsprechung vereinbaren.</w:t>
      </w:r>
    </w:p>
    <w:p>
      <w:r>
        <w:rPr>
          <w:b/>
        </w:rPr>
        <w:t>E. 3.3.2</w:t>
      </w:r>
    </w:p>
    <w:p>
      <w:r>
        <w:t>Soweit die Vorinstanz eine Analogie zu einem Abrechnungsverhältnis herstellen möchte, wie es BGE 126 III 119 zugrunde lag, übersieht sie, dass im Kreditkartenvertrag mit der monatlichen Rechnungstellung stets eine Saldoziehung verbunden war, so dass eine nachträgliche Korrektur, wie sie die Klägerin vorliegend verlangt, auf ausservertraglicher Grundlage vorzunehmen ist. Ob sich angesichts der vereinbarten monatlichen Rechnungstellung und Begleichung im Lastschriftverfahren überhaupt eine Analogie zu einem Abrechnungsverhältnis begründen lässt, mag daher dahingestellt bleiben. So oder anders erweist sich als Verstoss gegen Bundesrecht, dass die Vorinstanz die Forderung der Klägerin der zehnjährigen Verjährung unterstellte. Insoweit ist die Berufung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