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350</w:t>
      </w:r>
    </w:p>
    <w:p>
      <w:r>
        <w:t>Bundesgericht (BGE), 2007-04-11, DE</w:t>
      </w:r>
    </w:p>
    <w:p>
      <w:r>
        <w:rPr>
          <w:b/>
        </w:rPr>
        <w:t xml:space="preserve">Quelle: </w:t>
      </w:r>
      <w:r>
        <w:t>https://mcp.opencaselaw.ch/entscheid/bge_BGE_133_III_350</w:t>
      </w:r>
    </w:p>
    <w:p>
      <w:r>
        <w:t>FR: ATF 133 III 350</w:t>
      </w:r>
    </w:p>
    <w:p>
      <w:r>
        <w:t>IT: DTF 133 III 350</w:t>
      </w:r>
    </w:p>
    <w:p>
      <w:pPr>
        <w:pStyle w:val="Heading2"/>
      </w:pPr>
      <w:r>
        <w:t>Regeste</w:t>
      </w:r>
    </w:p>
    <w:p>
      <w:r>
        <w:t>Regeste Art. 72 ff. BGG; Beschwerde in Zivilsachen gegen Entscheide der kantonalen Aufsichtsbehörden in Schuldbetreibungs- und Konkurssachen. Zulässigkeit der Beschwerde; Endentscheide der kantonalen Aufsichtsbehörden (E. 1.2). Beschwerdegründe und Begründungsanforderungen (E. 1.3).</w:t>
      </w:r>
    </w:p>
    <w:p>
      <w:r>
        <w:t>Regeste Art. 72 ss LTF; recours en matière civile contre les décisions des autorités cantonales de surveillance en matière de poursuite pour dettes et de faillite. Admissibilité du recours; décisions finales des autorités cantonales de surveillance (consid. 1.2). Motifs de recours et exigences quant à la motivation (consid. 1.3).</w:t>
      </w:r>
    </w:p>
    <w:p>
      <w:r>
        <w:t>Regesto Art. 72 segg. LTF; ricorso in materia civile contro decisioni delle autorità cantonali di vigilanza in materia di esecuzione e fallimento. Ammissibilità del ricorso; decisioni finali delle autorità cantonali di vigilanza (consid. 1.2). Motivi di ricorso e esigenze di motivazione (consid. 1.3).</w:t>
      </w:r>
    </w:p>
    <w:p>
      <w:pPr>
        <w:pStyle w:val="Heading2"/>
      </w:pPr>
      <w:r>
        <w:t>Erwägungen</w:t>
      </w:r>
    </w:p>
    <w:p>
      <w:r>
        <w:rPr>
          <w:b/>
        </w:rPr>
        <w:t>E. 1.1</w:t>
      </w:r>
    </w:p>
    <w:p>
      <w:r>
        <w:t>Der angefochtene Beschluss ist nach Inkrafttreten des Bundesgesetzes vom 17. Juni 2005 über das Bundesgericht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 Beschwerdeentscheide der kantonalen Aufsichtsbehörden über Verfügungen des Betreibungs- und Konkursamtes gemäss Art. 17 SchKG sind Endentscheide im Sinne von Art. 90 BGG , zumal diese Verfügungen im laufenden Vollstreckungsverfahren grundsätzlich nicht mehr in Frage gestellt werden können. Der Entscheid der kantonalen Aufsichtsbehörde ist unabhängig von einer gesetzlichen Streitwertgrenze anfechtbar ( Art. 74 Abs. 2 lit. c BGG ). Der fristgerecht erhobene "Rekurs" ist demnach als Beschwerde in Zivilsachen entgegen zu nehmen ( Art. 100 Abs. 2 lit. a BGG ).</w:t>
      </w:r>
    </w:p>
    <w:p>
      <w:r>
        <w:rPr>
          <w:b/>
        </w:rPr>
        <w:t>E. 1.3</w:t>
      </w:r>
    </w:p>
    <w:p>
      <w:r>
        <w:t>Mit der Beschwerde kann insbesondere die Verletzung von Bundesrecht, Völkerrecht und kantonaler verfassungsmässiger Rechte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Begründungsanforderungen genügen. Die BGE 133 III 350 S. 352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