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185</w:t>
      </w:r>
    </w:p>
    <w:p>
      <w:r>
        <w:t>Bundesgericht (BGE), 2007-01-12, DE</w:t>
      </w:r>
    </w:p>
    <w:p>
      <w:r>
        <w:rPr>
          <w:b/>
        </w:rPr>
        <w:t xml:space="preserve">Quelle: </w:t>
      </w:r>
      <w:r>
        <w:t>https://mcp.opencaselaw.ch/entscheid/bge_BGE_133_III_185</w:t>
      </w:r>
    </w:p>
    <w:p>
      <w:r>
        <w:t>FR: ATF 133 III 185</w:t>
      </w:r>
    </w:p>
    <w:p>
      <w:r>
        <w:t>IT: DTF 133 III 185</w:t>
      </w:r>
    </w:p>
    <w:p>
      <w:pPr>
        <w:pStyle w:val="Heading2"/>
      </w:pPr>
      <w:r>
        <w:t>Regeste</w:t>
      </w:r>
    </w:p>
    <w:p>
      <w:r>
        <w:t>Regeste Zusatzversicherung zur Krankenversicherung nach KVG; Taggeldversicherung. Anspruch auf Taggeld für den Einkommensausfall infolge krankheitsbedingter Arbeitsunfähigkeit in einem Fall, da die versicherte Person wegen von ihr am Arbeitsplatz begangener Brandstiftungen, die auf eine psychische Erkrankung zurückzuführen waren, entlassen und in Haft gesetzt worden ist (E. 2).</w:t>
      </w:r>
    </w:p>
    <w:p>
      <w:r>
        <w:t>Regeste Assurance complémentaire à l'assurance-maladie selon la LAMal; assurance d'indemnités journalières. Prétention en paiement d'indemnités journalières pour la perte de revenu consécutive à une incapacité de travail pour cause de maladie dans le cas où la personne assurée a été licenciée et emprisonnée en raison d'incendies intentionnels, imputables à une maladie psychique, commis à son poste de travail (consid. 2).</w:t>
      </w:r>
    </w:p>
    <w:p>
      <w:r>
        <w:t>Regesto Assicurazione complementare all'assicurazione malattia secondo la LAMal; assicurazione di indennità giornaliera. Diritto ad un'indennità giornaliera per la perdita di guadagno consecutiva ad un'incapacità di lavoro quando la persona assicurata è stata licenziata ed arrestata a causa di incendi intenzionali cagionati nel posto di lavoro ed imputabili ad una malattia psichica (consid. 2).</w:t>
      </w:r>
    </w:p>
    <w:p>
      <w:pPr>
        <w:pStyle w:val="Heading2"/>
      </w:pPr>
      <w:r>
        <w:t>Erwägungen</w:t>
      </w:r>
    </w:p>
    <w:p>
      <w:r>
        <w:rPr>
          <w:b/>
        </w:rPr>
        <w:t>E. 2</w:t>
      </w:r>
    </w:p>
    <w:p>
      <w:r>
        <w:t>Das grundsätzlich anwendbare Versicherungsvertragsgesetz (VVG; SR 221.229.1) enthält keine spezifischen Bestimmungen zum Krankentaggeld. Mit dem kantonalen Versicherungsgericht ist deshalb auf die vertraglichen Vereinbarungen der Parteien abzustellen. Die Zusätzlichen Versicherungsbedingungen zur Taggeld-Versicherung bestimmen in Ziffer 1, dass diese Versicherung bis zur Höhe des versicherten Taggeldes "den nachgewiesenen Einkommensausfall, BGE 133 III 185 S. 187 der durch eine krankheits- oder unfallbedingte Arbeitsunfähigkeit entsteht", deckt.</w:t>
      </w:r>
    </w:p>
    <w:p>
      <w:r>
        <w:rPr>
          <w:b/>
        </w:rPr>
        <w:t>E. 2.1</w:t>
      </w:r>
    </w:p>
    <w:p>
      <w:r>
        <w:t>Das kantonale Versicherungsgericht geht unter Hinweis auf das vom 23. Mai 2005 datierte Gutachten von Dr. T., Oberärztin in der Psychiatrischen Klinik D., davon aus, dass die Klägerin seit längerer Zeit psychisch erkrankt sei. Sie leide an einer dissoziativen Störung, an kombinierter Persönlichkeitsstörung sowie an einem Benzodiazepin-Abhängigkeitssyndrom. Diese psychische Erkrankung habe jedoch erst am 7. Dezember 2004 zu einer ärztlich attestierten Arbeitsunfähigkeit geführt. Weder in jenem Zeitpunkt noch im Zeitpunkt der Meldung des Schadensfalles (23. Februar 2005) sei die Klägerin erwerbstätig gewesen, zumal das Anstellungsverhältnis beim Pflegeheim A. per 8. November 2004 aufgelöst worden sei. Da die Klägerin inhaftiert sei, sei sie sodann - unabhängig von ihrem Gesundheitszustand - weder in der Lage noch berechtigt, eine Arbeitstätigkeit ausserhalb der Strafanstalt auszuüben. Infolge des aufgelösten Arbeitsverhältnisses sei im massgebenden Zeitpunkt keine Einkommenseinbusse eingetreten und mangels Erfüllung der gesetzlichen Anspruchsvoraussetzung der Vermittlungsfähigkeit auch kein Verlust von Arbeitslosenentschädigung. Trotz krankheitsbedingter Arbeitsunfähigkeit stehe der Klägerin aus den dargelegten Gründen kein Anspruch auf Taggeldleistungen der Beklagten zu.</w:t>
      </w:r>
    </w:p>
    <w:p>
      <w:r>
        <w:rPr>
          <w:b/>
        </w:rPr>
        <w:t>E. 2.2.1</w:t>
      </w:r>
    </w:p>
    <w:p>
      <w:r>
        <w:t>Vorab ist zu bemerken, dass den Ausführungen im angefochtenen Entscheid insofern ein offensichtliches - von Amtes wegen zu berichtigendes - Versehen im Sinne von Art. 63 Abs. 2 OG zugrunde liegt, als das von der Vorinstanz angerufene Zeugnis des Psychiatrischen Dienstes an der Medizinischen Fakultät der Universität C. vom 17. Februar 2005 sich in keiner Weise zur Arbeitsfähigkeit der Klägerin äussert. Aus dem Bericht lässt sich somit nicht schliessen, die Klägerin sei erst vom 7. Dezember 2004 an arbeitsunfähig gewesen.</w:t>
      </w:r>
    </w:p>
    <w:p>
      <w:r>
        <w:rPr>
          <w:b/>
        </w:rPr>
        <w:t>E. 2.2.2</w:t>
      </w:r>
    </w:p>
    <w:p>
      <w:r>
        <w:t>Es trifft sodann zwar zu, dass die Klägerin - vordergründig - wegen der von ihr am Arbeitsort gelegten Brände entlassen wurde. Das vom kantonalen Versicherungsgericht herangezogene Gutachten der Psychiatrischen Klinik D. vom 23. Mai 2005 bestätigt indessen nicht nur das Vorbringen der Klägerin, sie sei bereits seit längerer Zeit psychisch krank gewesen; es ergibt sich aus diesem Bericht auch klar, dass die Brandstiftungen auf die festgestellten BGE 133 III 185 S. 188 gesundheitlichen Störungen zurückzuführen waren. Der Funktion nach ist der Anstaltsaufenthalt denn auch dem Aufenthalt in einer Klinik gleichzusetzen. Dass der Arbeitgeber die Entlassung der Klägerin vom 8. November 2004 (nur) mit den - vordergründig als Einziges in Erscheinung getretenen - Brandstiftungen begründete, ist ohne Belang. Stellen die Brandstiftungen mithin krankheitsbedingte Handlungen dar, ist der Entlassungsgrund in der Erkrankung zu erblicken und die Arbeitsunfähigkeit als krankheitsbedingt zu qualifizieren. Der Zeitpunkt des Eintritts der Arbeitsunfähigkeit ist damit auf die Zeit des deliktischen Handelns der Klägerin anzusetzen, und nicht erst auf den Zeitpunkt ihres Eintritts in die Strafanstalt. Im Sozialversicherungsrecht ist vorgesehen, dass die Auszahlung von Geldleistungen mit Erwerbsersatzcharakter eingestellt werden kann für die Zeit, da sich die versicherte Person im Straf- oder Massnahmenvollzug befindet (Art. 21 Abs. 5 des Bundesgesetzes über den Allgemeinen Teil des Sozialversicherungsrechts [ATSG; SR 830.1]). Für den Fall, dass der Anspruchsberechtigte sich wegen im Vordergrund stehender Behandlungsbedürftigkeit im Massnahmenvollzug nach (a) Art. 43 StGB befindet, hat das Eidgenössische Versicherungsgericht die Sistierung einer Invalidenrente indessen abgelehnt ( BGE 129 V 211 E. 1.1 S. 216). In die gleiche Richtung weist ebenfalls ein Urteil des Waadtländer Kantonsgerichts vom 2. Juni 2004 (teilweise abgedruckt in: Jahrbuch des schweizerischen Arbeitsrechts [JAR] 2005 S. 456 ff.), wonach Art. 336c Abs. 1 lit. b OR (Kündigungsschutz bei krankheitsbedingter Arbeitsunfähigkeit) auch dann zum Tragen komme, wenn die Arbeitsunfähigkeit nicht ausschliesslich auf die Krankheit zurückzuführen sei, sondern auch auf einen anderen Grund, oder wenn zunächst dieser andere Grund die Arbeitsunfähigkeit verursacht habe (a.a.O., S. 457 f., E. 3b).</w:t>
      </w:r>
    </w:p>
    <w:p>
      <w:r>
        <w:rPr>
          <w:b/>
        </w:rPr>
        <w:t>E. 2.3</w:t>
      </w:r>
    </w:p>
    <w:p>
      <w:r>
        <w:t>Aufgrund des Dargelegten ist festzuhalten, dass das kantonale Versicherungsgericht die Kausalität zu eng gefasst hat. Dessen Würdigung der tatsächlichen Gegebenheiten lässt sich mit der einschlägigen Vertragsbestimmung nicht vereinbaren. Die Klage wurde zu Unrecht abgewiesen, so dass die Berufung gutzuheissen und das angefochtene Urteil aufzuheben ist. Da die Vorinstanz sich zum Quantitativen (Dauer und Höhe der Taggeldleistungen) nicht geäussert hat, ist die Sache zu neuer Entscheidung im Sinne des Ausgeführten an sie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