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w:t>
      </w:r>
    </w:p>
    <w:p>
      <w:r>
        <w:t>Bundesgericht (BGE), 2005-01-01, DE</w:t>
      </w:r>
    </w:p>
    <w:p>
      <w:r>
        <w:rPr>
          <w:b/>
        </w:rPr>
        <w:t xml:space="preserve">Quelle: </w:t>
      </w:r>
      <w:r>
        <w:t>https://mcp.opencaselaw.ch/entscheid/bge_BGE_132_V_1</w:t>
      </w:r>
    </w:p>
    <w:p>
      <w:r>
        <w:t>FR: ATF 132 V 1</w:t>
      </w:r>
    </w:p>
    <w:p>
      <w:r>
        <w:t>IT: DTF 132 V 1</w:t>
      </w:r>
    </w:p>
    <w:p>
      <w:pPr>
        <w:pStyle w:val="Heading2"/>
      </w:pPr>
      <w:r>
        <w:t>Regeste</w:t>
      </w:r>
    </w:p>
    <w:p>
      <w:r>
        <w:t>Regeste Art. 29 IVG; Art. 23 ff. BVG; Art. 49 Abs. 4 ATSG: Bindung der Vorsorgeeinrichtung an Entscheidungen der IV-Organe, Verfahrenskoordination und -teilnahme; Eröffnungsfehler. Die Judikatur, wonach die Vorsorgeeinrichtungen im Bereich der gesetzlichen Mindestvorsorge an die Feststellungen der IV-Organe gebunden sind, ist auch unter Geltung des ATSG massgebend. Die Vorsorgeeinrichtung ist durch die Invaliditätsbemessung der Eidgenössischen Invalidenversicherung gemäss Art. 49 Abs. 4 ATSG berührt. (Erw. 3) Versäumt eine IV-Stelle das Einbeziehen einer präsumtiv leistungspflichtigen Vorsorgeeinrichtung in das IV-Verfahren, ist die invalidenversicherungsrechtliche Festsetzung des Invaliditätsgrades für die Vorsorgeeinrichtung nicht verbindlich, weshalb kein Grund besteht, der Vorsorgeeinrichtung bei nachträglicher Kenntnis der IV-Rentenverfügung den Rechtsweg gegen diese zu eröffnen. (Erw. 3)</w:t>
      </w:r>
    </w:p>
    <w:p>
      <w:r>
        <w:t>Regeste Art. 29 LAI; art. 23 ss LPP; art. 49 al. 4 LPGA: Institution de prévoyance liée aux décisions des organes de l'AI, participation à la procédure et coordination; erreur de notification. La jurisprudence, selon laquelle les institutions de prévoyance sont liées aux constatations des organes de l'AI dans le domaine de la prévoyance minimale stipulée par la loi, est également valable sous l'empire de la LPGA. L'institution de prévoyance est touchée par l'évaluation de l'invalidité de l'assurance-invalidité fédérale selon l'art. 49 al. 4 LPGA. (consid. 3) Lorsqu'un office AI omet d'intégrer, dans la procédure de l'assurance-invalidité, une institution de prévoyance dont il y a lieu de présumer l'obligation de prester, celle-ci n'est pas liée par la fixation du degré d'invalidité selon le droit de l'assurance-invalidité, si bien qu'il n'y a pas de motif de lui ouvrir une voie de droit dans les cas où elle prend connaissance de la décision d'octroi de rente ultérieurement. (consid. 3)</w:t>
      </w:r>
    </w:p>
    <w:p>
      <w:r>
        <w:t>Regesto Art. 29 LAI; art. 23 segg. LPP; art. 49 cpv. 4 LPGA: Effetto vincolante delle decisioni degli organi dell'AI per l'istituto previdenziale, partecipazione alla procedura e coordinamento; difetto di notificazione. La giurisprudenza per la quale gli istituti previdenziali sono nell'ambito della previdenza minima obbligatoria ai sensi di legge vincolati dalle constatazioni degli organi dell'AI vale pure sotto l'imperio della LPGA. La valutazione dell'assicurazione federale per l'invalidità concerne l'istituto previdenziale ai sensi dell'art. 49 cpv. 4 LPGA. (consid. 3) Se un ufficio AI omette di coinvolgere nella procedura in materia di assicurazione per l'invalidità un istituto previdenziale suscettibile di essere tenuto a prestare, la fissazione del grado d'invalidità secondo il diritto dell'assicurazione per l'invalidità non è vincolante per l'istituto, per cui non vi è motivo di aprire al medesimo i rimedi giuridici qualora esso venga successivamente a conoscenza della decisione di riconoscimento di rendita AI. (consid. 3)</w:t>
      </w:r>
    </w:p>
    <w:p>
      <w:pPr>
        <w:pStyle w:val="Heading2"/>
      </w:pPr>
      <w:r>
        <w:t>Erwägungen</w:t>
      </w:r>
    </w:p>
    <w:p>
      <w:r>
        <w:rPr>
          <w:b/>
        </w:rPr>
        <w:t>E. 1</w:t>
      </w:r>
    </w:p>
    <w:p>
      <w:r>
        <w:t>Der Rechtsstreit beschlägt die Frage, wie der Umstand zu würdigen ist, dass die IV-Stelle es versäumte, die Sammelstiftung als BVG-Versicherer in das der rentenzusprechenden Verfügung vom 5. März 2003 vorangehende IV-Verfahren einzubeziehen. Dafür sind nach den hier anwendbaren allgemeinen Grundsätzen des intertemporalen Rechts und des zeitlich massgebenden Sachverhalts ( BGE 129 V 4 Erw. 1.2, BGE 129 V 169 Erw. 1, 356 Erw. 1, je mit Hinweisen) die ab 1. Januar 2003 gültigen Bestimmungen anwendbar.</w:t>
      </w:r>
    </w:p>
    <w:p>
      <w:r>
        <w:rPr>
          <w:b/>
        </w:rPr>
        <w:t>E. 2</w:t>
      </w:r>
    </w:p>
    <w:p>
      <w:r>
        <w:t>Unter Geltung der hier nicht einschlägigen, bis 31. Dezember 2002 massgebenden Normenlage entschied das Eidgenössische Vericherungsgericht bezüglich Verfahrenskoordination und -teilnahme im Verhältnis zwischen Eidgenössischer Invalidenversicherung (IV) und beruflicher Vorsorge wie folgt: BGE 132 V 1 S. 3 Gemäss BGE 129 V 73 ist die IV-Stelle verpflichtet, eine Rentenverfügung allen in Betracht fallenden Vorsorgeeinrichtungen von Amtes wegen zu eröffnen. Dem BVG-Versicherer steht ein selbstständiges Beschwerderecht im Verfahren nach IVG zu. Unterbleibt ein solches Einbeziehen der präsumptiv leistungspflichtigen Vorsorgeeinrichtungen, ist die invalidenversicherungsrechtliche Festsetzung des Invaliditätsgrades (grundsätzlich, masslich und zeitlich) berufsvorsorgerechtlich nicht verbindlich. In diesem Fall besteht kein Grund, der Vorsorgeeinrichtung bei nachträglicher Kenntnis der Rentenverfügung der Invalidenversicherung den Rechtsweg gegen diese zu eröffnen (Urteil S. vom 5. Oktober 2005, B 91/04, Erw. 3).</w:t>
      </w:r>
    </w:p>
    <w:p>
      <w:r>
        <w:rPr>
          <w:b/>
        </w:rPr>
        <w:t>E. 3</w:t>
      </w:r>
    </w:p>
    <w:p>
      <w:r>
        <w:t>Ob mit In-Kraft-Treten des ATSG in analoger Weise zu entscheiden ist, hängt davon ab, ob über den 1. Januar 2003 hinaus Vorsorgeeinrichtungen, die ausdrücklich oder unter Hinweis auf das Gesetz vom gleichen Invaliditätsbegriff wie die Invalidenversicherung ausgehen, an die Invaliditätsbemessung der IV-Stelle gebunden sind, sofern diese nicht offensichtlich unhaltbar ist (in BGE 130 V 501 nicht publizierte Erw. 2 mit Hinweisen), und ob den BVG-Versicherern - gleichsam als Korrelat zu dieser Bindungswirkung - die Möglichkeit offen steht, "die gleichen Rechtsmittel (zu) ergreifen wie die versicherte Person" ( Art. 49 Abs. 4 ATSG ).</w:t>
      </w:r>
    </w:p>
    <w:p>
      <w:r>
        <w:rPr>
          <w:b/>
        </w:rPr>
        <w:t>E. 3.1</w:t>
      </w:r>
    </w:p>
    <w:p>
      <w:r>
        <w:t>In BGE 131 V 362 hat das Eidgenössische Versicherungsgericht entschieden, dass der Unfallversicherer - wie zuvor schon in Fällen, in welchen das ATSG noch nicht zur Anwendung gelangte (AHI 2004 S. 181 [Urteil vom 13. Januar 2004, I 564/02]) - auch unter der Herrschaft des ATSG (insbesondere Art. 49 Abs. 4 ATSG ) an die Invaliditätsbemessung der Invalidenversicherung nicht gebunden ist. Entsprechend fehlt es dem Unfallversicherer am "Berührtsein" im Sinne von Art. 49 Abs. 4 ATSG , weshalb dieser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ff. Erw. 2, insbesondere Erw. 2.2). Damit hat sich das Eidgenössische Versicherungsgericht im Ergebnis einer früher schon in der Doktrin verschiedentlich BGE 132 V 1 S. 4 vertretenen Meinung angeschlossen, wonach ein "Berührtsein" nicht angenommen werden kann, soweit nicht eine eigentliche Bindung an den durch einen anderen Sozialversicherungsträger getroffenen Entscheid besteht, sondern bloss eine Obliegenheit, dessen bereits vorliegenden rechtskräftigen Entscheid mit zu berücksichtigen (vgl. KIESER, ATSG-Kommentar, N 30 zu Art. 49 in fine mit entsprechenden Hinweisen auf Literatur und Rechtsprechung; JÜRG SCHEIDEGGER, Die Koordination der Invaliditätsschätzungen der verschiedenen Sozialversicherungszweige, in: SCHAFFHAUSER/SCHLAURI [Hrsg.], Aktuelle Rechtsfragen der Sozialversicherungspraxis, St. Gallen 2001, S. 101, wo ebenfalls keine enge Bindung der Unfallversicherung an eine rechtskräftige Invaliditätsschätzung der Invalidenversicherung angenommen wird; einlässlich zum Ganzen: MEYER, Die Teilnahme am vorinstanzlichen Verfahren als Voraussetzung der Rechtsmittellegitimation, in: SCHAFFHAUSER/SCHLAURI [Hrsg.], Sozialversicherungsrechtstagung 2004, St. Gallen 2004, S. 14 ff. und insbesondere S. 28 ff.).</w:t>
      </w:r>
    </w:p>
    <w:p>
      <w:r>
        <w:rPr>
          <w:b/>
        </w:rPr>
        <w:t>E. 3.2</w:t>
      </w:r>
    </w:p>
    <w:p>
      <w:r>
        <w:t>Dieses Urteil lässt sich auf das hier strittige Verhältnis zwischen erster Säule (Invalidenversicherung) und zweiter Säule (berufliche Vorsorge) freilich nicht analog übertragen. Denn im Unterschied zum Verhältnis Invalidenversicherung zur Unfallversicherung ist die durch die Judikatur näher umschriebene Bindungswirkung der Invaliditätsbemessung der Invalidenversicherung für die (obligatorische) berufliche Vorsorge ( BGE 115 V 208 und 215 sowie BGE 118 V 39 Erw. 2 und 3 sowie seitherige Urteile) in den Art. 23 ff. BVG positivrechtlich ausdrücklich verankert. Dies zeigt sich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und schliesslich für den Beginn des Anspruchs auf eine BVG-Invalidenrente gestützt auf Art. 26 Abs. 1 BVG sinngemäss die entsprechenden invalidenversicherungsrechtlichen Bestimmungen ( Art. 29 IVG ) gelten. An dieser gesetzlichen Konzeption, die auf der Überlegung fusst, die Organe der beruflichen Vorsorge von eigenen aufwändigen Abklärungen freizustellen, und folglich nur bezüglich Feststellungen und Beurteilungen der IV-Organe gilt, welche im invalidenversicherungsrechtlichen Verfahren für die Festlegung des Anspruchs auf eine Invalidenrente entscheidend waren, hat sich mit BGE 132 V 1 S. 5 In-Kraft-Treten des ATSG, welchem die berufliche Vorsorge grundsätzlich nicht untersteht (vgl. hiezu im Allgemeinen: KIESER, ATSG-Kommentar, N 18 ff. zu Art. 2 sowie bezüglich Überentschädigung: BGE 130 V 78 ), nichts geändert.</w:t>
      </w:r>
    </w:p>
    <w:p>
      <w:r>
        <w:rPr>
          <w:b/>
        </w:rPr>
        <w:t>E. 3.3</w:t>
      </w:r>
    </w:p>
    <w:p>
      <w:r>
        <w:t>Das Gesagte zeitigt folgende Wirkungen:</w:t>
      </w:r>
    </w:p>
    <w:p>
      <w:r>
        <w:rPr>
          <w:b/>
        </w:rPr>
        <w:t>E. 3.3.1</w:t>
      </w:r>
    </w:p>
    <w:p>
      <w:r>
        <w:t>Indem die Invaliditätsbemessung der Invalidenversicherung für die Organe der (obligatorischen) beruflichen Vorsorge über den 1. Januar 2003 hinaus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w:t>
      </w:r>
    </w:p>
    <w:p>
      <w:r>
        <w:rPr>
          <w:b/>
        </w:rPr>
        <w:t>E. 3.3.2</w:t>
      </w:r>
    </w:p>
    <w:p>
      <w:r>
        <w:t>Einem Eröffnungsfehler gegenüber einer präsumtiv leistungspflichtigen Vorsorgeeinrichtung ist auch unter Geltung des ATSG in der Weise Rechnung zu tragen, dass den Ergebnissen bezüglich Invalidität aus dem IV-Verfahren keine Bindungswirkung für die Invaliditätsbeurteilung im berufsvorsorgerechtlichen Verfahren zuzuerkennen ist. Es besteht daher, wie bereits im zitierten Urteil S. vom 5. Oktober 2005, B 91/04, zur altrechtlichen Normenlage entschieden, kein Grund, der Vorsorgeeinrichtung bei nachträglicher Kenntnis der IV-Rentenverfügung den Rechtsweg gegen diese zu eröffnen (vgl. Erw. 2 Absatz 2 hievor). Der angefochtene Gerichtsentscheid, worin der auf Nichteintreten lautende Einspracheentscheid bestätigt wurde, hält im Ergebnis Stand.</w:t>
      </w:r>
    </w:p>
    <w:p>
      <w:r>
        <w:rPr>
          <w:b/>
        </w:rPr>
        <w:t>E. 4</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