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7</w:t>
      </w:r>
    </w:p>
    <w:p>
      <w:r>
        <w:t>Bundesgericht (BGE), 2005-11-17, DE</w:t>
      </w:r>
    </w:p>
    <w:p>
      <w:r>
        <w:rPr>
          <w:b/>
        </w:rPr>
        <w:t xml:space="preserve">Quelle: </w:t>
      </w:r>
      <w:r>
        <w:t>https://mcp.opencaselaw.ch/entscheid/bge_BGE_132_I_7</w:t>
      </w:r>
    </w:p>
    <w:p>
      <w:r>
        <w:t>FR: ATF 132 I 7</w:t>
      </w:r>
    </w:p>
    <w:p>
      <w:r>
        <w:t>IT: DTF 132 I 7</w:t>
      </w:r>
    </w:p>
    <w:p>
      <w:pPr>
        <w:pStyle w:val="Heading2"/>
      </w:pPr>
      <w:r>
        <w:t>Regeste</w:t>
      </w:r>
    </w:p>
    <w:p>
      <w:r>
        <w:t>Regeste Art. 5, 8 Abs. 1, 9 und 10 Abs. 2 BV; Bewilligungserfordernis für das Halten von "potenziell gefährlichen Hunden". Konkretisierung des für die Bewilligungspflicht massgebenden gesetzlichen Begriffes der "potenziell gefährlichen Hunde" durch den Verordnungsgeber (E. 2). Kein Eingriff in den Schutzbereich der persönlichen Freiheit durch die blosse Bewilligungspflicht für die Hundehaltung (E. 3). Verwendung der Rassenzugehörigkeit von Hunden als Kriterium zur Abgrenzung der Bewilligungspflicht (E. 4).</w:t>
      </w:r>
    </w:p>
    <w:p>
      <w:r>
        <w:t>Regeste Art. 5, 8 al. 1, 9 et 10 al. 2 Cst.; exigence d'une autorisation pour la détention de "chiens potentiellement dangereux". Concrétisation par voie d'ordonnance de la notion légale de "chiens potentiellement dangereux", déterminante quant à l'obligation de requérir une autorisation (consid. 2). Pas d'atteinte à la garantie de la liberté personnelle par la simple obligation d'une autorisation pour la détention de chiens (consid. 3). Utilisation de l'appartenance à certaines races de chiens comme critère de délimitation pour l'obligation de l'autorisation (consid. 4).</w:t>
      </w:r>
    </w:p>
    <w:p>
      <w:r>
        <w:t>Regesto Art. 5, 8 cpv. 1, 9 e 10 cpv. 2 Cost.; esigenza di un'autorizzazione per la detenzione di "cani potenzialmente pericolosi". Concretizzazione della nozione legale di "cani potenzialmente pericolosi", determinante per l'obbligo di autorizzazione, da parte dell'autore dell'ordinanza (consid. 2). Nessuna ingerenza nell'ambito tutelato dalla libertà personale mediante il semplice obbligo di autorizzazione per la detenzione di cani (consid. 3). Utilizzo dell'appartenenza a determinate razze di cani come criterio per la delimitazione dell'obbligo di autorizzazione (consid. 4).</w:t>
      </w:r>
    </w:p>
    <w:p>
      <w:pPr>
        <w:pStyle w:val="Heading2"/>
      </w:pPr>
      <w:r>
        <w:t>Erwägungen</w:t>
      </w:r>
    </w:p>
    <w:p>
      <w:r>
        <w:rPr>
          <w:b/>
        </w:rPr>
        <w:t>E. 2</w:t>
      </w:r>
    </w:p>
    <w:p>
      <w:r>
        <w:t>Im Zweifelsfall entscheidet die Kantonstierärztin bzw. der Kantonstierarzt. BGE 132 I 7 S. 9</w:t>
      </w:r>
    </w:p>
    <w:p>
      <w:r>
        <w:rPr>
          <w:b/>
        </w:rPr>
        <w:t>E. 2.1</w:t>
      </w:r>
    </w:p>
    <w:p>
      <w:r>
        <w:t>Das kantonale Hundegesetz verpflichtet Hundehalter, ihre Hunde der Gemeinde zu melden (§ 4). Es unterstellt darüber hinaus das Halten "potenziell gefährlicher Hunde" einer Bewilligungspflicht (§ 2a Abs. 1, Ergänzung vom 20. Februar 2003, in Kraft seit 1. Juli 2003). § 3a des Hundegesetzes legt die Bewilligungsvoraussetzungen fest. Die nähere Ordnung des Bewilligungsverfahrens überträgt das Hundegesetz dem Regierungsrat, der auch zu bestimmen hat, welche Hunde als potenziell gefährlich einzustufen sind (§ 3 Abs. 3). Diesem Auftrag ist der Regierungsrat mit der von ihm am 3. Juni 2003 beschlossenen und am 1. Juli 2003 in Kraft getretenen Hundeverordnung nachgekommen. Deren § 1 (Marginale "Potenziell gefährliche Hunde") lautet: 1 Als potenziell gefährliche Hunde gelten: a) Bullterrier; b) Staffordshire Bull Terrier; c) American Staffordshire Terrier; d) American Pit Bull Terrier; e) Rottweiler; f) Dobermann; g) Dogo Argentino; h) Fila Brasileiro; i) Kreuzungen mit Rassen gemäss den Buchstaben a bis h sowie Hunde, die in Bezug auf die äussere Gestalt diesen Rassen und Kreuzungen ähnlich sind; j) andere Hunde, die aufgrund ihres Verhaltens als potenziell gefährlich aufgefallen sind.</w:t>
      </w:r>
    </w:p>
    <w:p>
      <w:r>
        <w:rPr>
          <w:b/>
        </w:rPr>
        <w:t>E. 2.2</w:t>
      </w:r>
    </w:p>
    <w:p>
      <w:r>
        <w:t>Diese Regelung lässt sich unter dem Gesichtswinkel der verfassungsrechtlichen Delegationsschranken bzw. des sinngemäss angerufenen Gewaltenteilungsprinzips - entgegen den Vorbringen der Beschwerdeführer - nicht beanstanden. Nach § 36 Abs. 1 der Verfassung des Kantons Basel-Landschaft vom 17. Mai 1984 darf die Befugnis zum "Erlass grundlegender und wichtiger Bestimmungen" vom Gesetzgeber nicht auf andere Organe übertragen werden. Eine entsprechende Schranke für die Delegation von Rechtsetzungsbefugnissen ergibt sich aus dem Bundesrecht ( BGE 128 I 113 E. 3c S. 122 mit Hinweisen). Die in Frage stehende Bewilligungspflicht für die Haltung potenziell gefährlicher Hunde ist in einem formellen Gesetz vorgesehen, welches zugleich die Bewilligungsvoraussetzungen festlegt. Auch der Umfang der Bewilligungspflicht - die Haltung "potenziell gefährlicher Hunde" - ist im Grundsatz auf Gesetzesstufe vorgegeben. Die nähere Umschreibung dieses Begriffes durfte der Gesetzgeber zulässigerweise dem nachgeordneten Verordnungsrecht überlassen. Die erforderlichen Abgrenzungen setzen kynologisches Fachwissen voraus, dessen normative Umsetzung zweckmässigerweise auf den Verordnungsweg zu verweisen ist. Damit ist auch die erwünschte Flexibilität zur Anpassung an die im Rahmen des Vollzuges gewonnenen Erfahrungen und Erkenntnisse besser gewährleistet, als wenn das Gesetz selber - zur genauen Bestimmung des Umfangs der Bewilligungspflicht - einen entsprechenden Katalog von Rassen oder Eigenschaften aufstellt. Es bleibt zu prüfen, ob die mit den angefochtenen Verfügungen zur Anwendung gebrachte kantonale Regelung inhaltlich vor den von den Beschwerdeführern angerufenen Grundrechtsgarantien standhält.</w:t>
      </w:r>
    </w:p>
    <w:p>
      <w:r>
        <w:rPr>
          <w:b/>
        </w:rPr>
        <w:t>E. 3.1</w:t>
      </w:r>
    </w:p>
    <w:p>
      <w:r>
        <w:t>Die Beschwerdeführer erachten das ihnen auferlegte Bewilligungserfordernis mit den damit verbundenen Auflagen als Verletzung ihrer persönlichen Freiheit ( Art. 10 Abs. 2 BV ).</w:t>
      </w:r>
    </w:p>
    <w:p>
      <w:r>
        <w:rPr>
          <w:b/>
        </w:rPr>
        <w:t>E. 3.2</w:t>
      </w:r>
    </w:p>
    <w:p>
      <w:r>
        <w:t>Ob und wieweit das Verbot, einen Hund zu halten, eine elementare Möglichkeit menschlicher Entfaltung betrifft, die in den Schutzbereich dieses Grundrechtes fallen könnte (vgl. dazu Urteil 5C.198/2000 vom 18. Januar 2001, E. 2c mit Hinweis auf das Urteil P.23/1977 vom 5. Oktober 1977, publ. in: ZBl 79/1978 S. 34 f.), kann im vorliegenden Fall offen bleiben. Denn den BGE 132 I 7 S. 10 Beschwerdeführern wird das Halten von potenziell gefährlichen Hunden durch die beanstandete Regelung - soweit sie die für die sichere und korrekte Haltung solcher Hunde erforderlichen persönlichen Voraussetzungen erfüllen und gewisse selbstverständliche oder relativ leicht erfüllbare Auflagen in Kauf nehmen - keineswegs verunmöglicht, weshalb von einem Eingriff in den Schutzbereich der persönlichen Freiheit schon aus diesem Grunde nicht gesprochen werden kann.</w:t>
      </w:r>
    </w:p>
    <w:p>
      <w:r>
        <w:rPr>
          <w:b/>
        </w:rPr>
        <w:t>E. 4.1</w:t>
      </w:r>
    </w:p>
    <w:p>
      <w:r>
        <w:t>Die Beschwerdeführer erblicken in der in § 1 der Hundeverordnung vorgenommenen Umschreibung der bewilligungspflichtigen Hunde eine Verletzung des Rechtsgleichheitsgebotes ( Art. 8 BV ) sowie des Willkürverbotes ( Art. 9 BV ). Sie sind der Auffassung, es gebe keine vernünftigen Gründe, zwischen den in der Hundeverordnung aufgeführten acht Hunderassen, die per se als potenziell gefährlich gälten, und Hunden aller übrigen Rassen, die nur aufgrund ihres tatsächlichen Verhaltens als potenziell gefährlich eingestuft werden könnten, einen Unterschied zu machen. Das abstrakte Gefährdungspotential eines Hundes ergebe sich unabhängig von der Rasse aus seiner Grösse und seinem Gewicht. Es gebe keine gefährlichen Hunderassen, sondern nur gefährliche Hundeindividuen. Die vom Bundesamt für Veterinärwesen eingesetzte Arbeitsgruppe "Gesetzgebung betreffend gefährliche Hunde" rate dementsprechend davon ab, auf bestimmte Hunderassen bezogene Restriktionen anzuordnen. Der basel-landschaftliche Verordnungsgeber habe mit der Hundeverordnung rechtliche Unterscheidungen zwischen verschiedenen Hunderassen getroffen, die sich sachlich nicht begründen liessen, indem eine Reihe von weiteren gleichartigen Rassen wie beispielsweise Cane Corso, Rhodesian Ridgeback, Bordeaux Dogge, Englische Bulldogge, Deutsche Dogge und Mastino Napoletano nicht auf der Liste figurierten. Der Kanton Basel-Landschaft könne sich für seine Regelung sodann auf keine entsprechende Beiss-Statistik stützen. Die willkürliche Einführung einer Bewilligungspflicht für acht Hunderassen sei nicht geeignet, die Gefahr, von Hunden gebissen zu werden, abzuwehren. Nach Erhebungen im Kanton Neuenburg bestehe vor allem bei Berner und Appenzeller Sennenhunden sowie bei Schäferhunden ein doppelt so grosses Risiko von Bissverletzungen. Auch andere Erhebungen zeigten, dass Deutsche und Belgische Schäfer sowie weniger verbreitete Rassen wie etwa Bernhardiner und Tibet Terrier BGE 132 I 7 S. 11 signifikant häufiger an Bissverletzungen beteiligt seien. Eine Rassenliste sei deshalb zur Gefahrenabwehr nicht geeignet und verletze das Verhältnismässigkeitsprinzip.</w:t>
      </w:r>
    </w:p>
    <w:p>
      <w:r>
        <w:rPr>
          <w:b/>
        </w:rPr>
        <w:t>E. 4.2</w:t>
      </w:r>
    </w:p>
    <w:p>
      <w:r>
        <w:t>Die Beschwerdeführer heben an sich zu Recht hervor, dass die Rassenzugehörigkeit eines Hundes für sich allein noch keinen zuverlässigen Aufschluss über die Gefährlichkeit des Tieres gibt. Das Wesen eines Hundes wird, wie die in den Akten befindlichen Äusserungen in der Fachliteratur belegen, in wesentlichem Ausmass auch durch die Erziehung (Sozialisation) und durch Umwelteinflüsse geprägt (in diesem Sinn auch Urteil des deutschen Bundesverfassungsgerichts vom 16. März 2004 zum Bundesgesetz zur Bekämpfung gefährlicher Hunde, BVerfG 1 BvR 1778/01, E. C.I.1c/bb/4, mit Hinweisen auf zwei Urteile des deutschen Bundesverwaltungsgerichts vom 18. Dezember 2002). Zudem kann es innerhalb der gleichen Rasse Zuchtlinien mit erhöhter oder geringer Aggressivität geben. Es trifft auch zu, dass die vorhandenen statistischen Unterlagen über die Beisshäufigkeit gewisser Rassen die vom basel-landschaftlichen Verordnungsgeber getroffene Auswahl bewilligungspflichtiger Hunde an sich nicht stützen könnten. In einer im Jahr 2002 erschienenen (Berner) Dissertation (URSULA HORISBERGER, Medizinisch versorgte Hundebissverletzungen in der Schweiz, Opfer-Hunde-Unfallsituationen, S. 51) wird festgestellt, dass neben Rottweilern gewisse andere, nicht auf der vorliegend streitigen Liste stehende Rassen oder Rassegruppen (Schäferhunde) ebenfalls signifikant häufiger Bissverletzungen verursachen, als dies ihrem Anteil an der Hundepopulation entsprechen würde. Auch die statistischen Zahlen des Kantons Neuenburg für das Jahr 2003 belegen die höhere Beisshäufigkeit anderer Rassen. Schliesslich weisen die Beschwerdeführer mit Grund darauf hin, dass gewisse grosse Molosser Hunde (so etwa Cane Corso, Bordeaux Dogge, Mastino Napoletano), die nach dem Konzept des Verordnungsgebers wohl ebenfalls als potenziell gefährlich gelten müssten, nicht auf der Liste der bewilligungspflichtigen Hunde stehen. All dies begründet in der Tat gewisse Zweifel an der Richtigkeit und Wirksamkeit der getroffenen Regelung. Den Einwendungen der Beschwerdeführer lässt sich jedoch entgegenhalten, dass die meisten der in § 1 Abs. 1 der Hundeverordnung aufgezählten Hunderassen in den vergangenen Jahren durch Beissvorfälle mit schweren Folgen für die Betroffenen aufgefallen sind, was ein entsprechendes Echo in den Medien gefunden hat. Auch wenn andere Rassen oder Rassengruppen ebenfalls BGE 132 I 7 S. 12 häufig oder noch häufiger an Beissunfällen beteiligt sein mögen, sind die Folgen - wovon der kantonale Verordnungsgeber zumindest ohne Willkür ausgehen durfte - in der Regel weniger schwer als bei Verletzungen durch die hier ins Auge gefassten Hunderassen (vgl. auch das erwähnte Urteil des deutschen Bundesverfassungsgerichts). Zu beachten ist sodann, dass die in § 1 Abs. 1 lit. a-h der Hundeverordnung enthaltene Aufzählung bewilligungspflichtiger Rassen nicht abschliessend ist. Nach § 1 Abs. 1 lit. i derselben Bestimmung fallen - nebst den Kreuzungen zwischen den genannten Rassen - auch sonstige Hunde, welche in Bezug auf die äussere Gestalt diesen Rassen und Kreuzungen ähnlich sind, unter die Bewilligungspflicht. Gestützt darauf können auch in der Aufzählung nicht ausdrücklich aufgeführte Hunderassen der Bewilligungspflicht unterworfen werden, sofern sich dies aufgrund ihrer äusseren Eigenschaften aufdrängt. Der Einwand der Beschwerdeführer, es würden innerhalb der Gruppe der Molosser Hunde sachlich nicht begründbare Unterschiede gemacht, erscheint insoweit nicht stichhaltig. Dass der Verordnungsgeber für die Bewilligungspflicht überhaupt an die Rasse der Hunde anknüpft, mag diskutabel sein, entbehrt indessen nicht jeglicher sachlichen Berechtigung. Es entspricht einer Erfahrungstatsache, dass gewisse Rassen, worunter auch diein § 1 der Hundeverordnung aufgezählten, von ihrer genetischen Anlage her (Körpergrösse, Körperbau sowie ursprüngliche Zuchtziele für bestimmte Einsatzzwecke wie Grosswildjagd, Bewachung von Herden vor Raubtieren oder Hundekämpfe [vgl. dazu auch Urteil des deutschen Bundesverwaltungsgerichts vom 18. Dezember 2002, BVerwG 6 CN 3.01, E. I. und II.1.a/bb]) eher zu Aggressivität neigen oder zu entsprechendem Verhalten abgerichtet werden können als andere (vgl. dazu auch Urteil des deutschen Bundesverfassungsgerichts vom 16. März 2004, E. C.I.c/bb/4). Die Rasse ist damit nicht ein zum vornherein verfehltes und geradezu willkürliches Abgrenzungskriterium, auch wenn, wie aus den Stellungnahmen der Fachleute hervorgeht, eine differenziertere Betrachtungsweise dem Problem von gefährlichen Hunden besser gerecht würde. Bis zu einem gewissen Grad durfte der Verordnungsgeber für die Bestimmung des Umfangs der Bewilligungspflicht auch das subjektive Sicherheitsbedürfnis der Bevölkerung mitberücksichtigen. Nachdem es in jüngster Zeit immer wieder zu schweren Beissunfällen insbesondere mit Hunden der in § 1 Abs. 1 der Hundeverordnung erwähnten Rassen gekommen ist, lassen sich sachliche BGE 132 I 7 S. 13 Grün de dafür anführen, die Haltung von Hunden dieser Rassen zur Gewährleistung besserer Sicherheit generell einer Bewilligungspflicht zu unterwerfen und im Übrigen die Bewilligungspflicht auf solche Hunde zu beschränken, welche aufgrund ihres individuellen Verhaltens als potenziell gefährlich aufgefallen sind. Die Beschränkung des präventiven Kontrollverfahrens auf einige bestimmte Hunderassen erscheint unter dem Gesichtswinkel des Gebotes der rechtsgleichen Behandlung nach dem Gesagten zwar nicht unbedenklich. Die vom Regierungsrat des Kantons Basel-Landschaft gewählte Lösung lässt sich als Sofortmassnahme zur Verbesserung des Schutzes des Publikums vor gefährlichen Hundeattacken aber solange vertreten, als die ihr zugrunde liegenden Annahmen nach den bisherigen Erfahrungen einigermassen plausibel erscheinen. Falls die der Hundeverordnung zugrunde liegende Risikobeurteilung, sei es, was die potenzielle Gefährlichkeit der explizit erfassten Hunderassen bzw. die Einstufung nicht erfasster anderer Rassen oder aber die Tauglichkeit des Kriteriums der Rassenzugehörigkeit überhaupt betrifft, durch neue zuverlässige und aussagekräftige Erhebungen widerlegt werden sollte, wäre die jetzige Regelung diesen Erkenntnissen anzupassen.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