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167</w:t>
      </w:r>
    </w:p>
    <w:p>
      <w:r>
        <w:t>Bundesgericht (BGE), 2006-05-10, DE</w:t>
      </w:r>
    </w:p>
    <w:p>
      <w:r>
        <w:rPr>
          <w:b/>
        </w:rPr>
        <w:t xml:space="preserve">Quelle: </w:t>
      </w:r>
      <w:r>
        <w:t>https://mcp.opencaselaw.ch/entscheid/bge_BGE_132_I_167</w:t>
      </w:r>
    </w:p>
    <w:p>
      <w:r>
        <w:t>FR: ATF 132 I 167</w:t>
      </w:r>
    </w:p>
    <w:p>
      <w:r>
        <w:t>IT: DTF 132 I 167</w:t>
      </w:r>
    </w:p>
    <w:p>
      <w:pPr>
        <w:pStyle w:val="Heading2"/>
      </w:pPr>
      <w:r>
        <w:t>Regeste</w:t>
      </w:r>
    </w:p>
    <w:p>
      <w:r>
        <w:t>Regeste Art. 8 Abs. 2 und 3 BV; diskriminierende Verweigerung einer Einbürgerung? Der Berufung auf Art. 15 BV und Art. 9 EMRK kommt im Hinblick auf die Rüge, die Einbürgerung sei wegen der Religionszugehörigkeit aus diskriminierenden Gründen verweigert worden, keine selbständige Bedeutung zu (E. 3). Mangels hinreichender Integration der Gesuchstellerin verstösst die Verweigerung der Einbürgerung nicht gegen Art. 8 Abs. 2 BV (E. 4).</w:t>
      </w:r>
    </w:p>
    <w:p>
      <w:r>
        <w:t>Regeste Art. 8 al. 2 et 3 Cst.; refus discriminatoire d'une naturalisation? Les art. 15 Cst. et 9 CEDH n'ont pas de portée indépendante par rapport au grief selon lequel la naturalisation aurait été refusée pour des motifs discriminatoires liés à l'appartenance religieuse (consid. 3). En raison de l'intégration insuffisante de la requérante, le refus de naturalisation ne viole pas l'art. 8 al. 2 Cst. (consid. 4).</w:t>
      </w:r>
    </w:p>
    <w:p>
      <w:r>
        <w:t>Regesto Art. 8 cpv. 2 e 3 Cost.; rifiuto discriminatorio di una naturalizzazione? Il richiamo degli art. 15 Cost. e 9 CEDU non assume una portata propria con riferimento alla censura secondo cui la naturalizzazione sarebbe stata rifiutata per motivi discriminatori a causa dell'appartenenza religiosa (consid. 3). In mancanza di una sufficiente integrazione della richiedente, il rifiuto della naturalizzazione non viola l'art. 8 cpv. 2 Cost. (consid. 4).</w:t>
      </w:r>
    </w:p>
    <w:p>
      <w:pPr>
        <w:pStyle w:val="Heading2"/>
      </w:pPr>
      <w:r>
        <w:t>Erwägungen</w:t>
      </w:r>
    </w:p>
    <w:p>
      <w:r>
        <w:rPr>
          <w:b/>
        </w:rPr>
        <w:t>E. 2</w:t>
      </w:r>
    </w:p>
    <w:p>
      <w:r>
        <w:t>Die Beschwerdeführerin macht nicht geltend, dass sie nach dem kantonalen Bürgerrechtsgesetz einen Anspruch auf Einbürgerung habe. Für die Bejahung ihrer Legitimation muss sie daher in unmittelbar durch die Bundesverfassung geschützten Interessen betroffen sein.</w:t>
      </w:r>
    </w:p>
    <w:p>
      <w:r>
        <w:rPr>
          <w:b/>
        </w:rPr>
        <w:t>E. 2.1</w:t>
      </w:r>
    </w:p>
    <w:p>
      <w:r>
        <w:t>Als Partei im kantonalen Verfahren kann die Beschwerdeführerin die Verletzung bundesverfassungsrechtlicher Verfahrensgarantien rügen, deren Missachtung eine formelle Rechtsverweigerung darstellt. Das gilt für Rügen der Verletzung des rechtlichen Gehörs gemäss Art. 29 Abs. 2 BV und trifft namentlich zu, wenn das gänzliche Fehlen einer Begründung des angefochtenen Entscheides beanstandet wird ( BGE 129 I 217 E. 1.4 S. 222; BGE 131 I 18 ). Hingegen legitimiert diese Parteistellung nicht zur Rüge, ein Entscheid sei mangelhaft begründet, d.h. die Begründung sei unvollständig, zu wenig differenziert oder materiell unzutreffend ( BGE 129 I 217 E. 1.4 S. 222). Eine solche setzt die Legitimation in der Sache selbst voraus, die sich bei Anrufung spezieller Verfassungsrechte bereits aus der Grundrechtsträgerschaft und dem Inhalt der als verletzt gerügten Verfassungsrechte ergibt ( BGE 129 I 217 E. 1.1 S. 220). Das trifft auf die Rügen zu, der angefochtene Beschluss verletze das BGE 132 I 167 S. 169 Diskriminierungsverbot und das Gebot der Geschlechtergleichbehandlung gemäss Art. 8 Abs. 2 und 3 BV bzw. der Beschluss halte vor der Religionsfreiheit nach Art. 15 BV und Art. 9 EMRK nicht stand. Bei dieser Sachlage kommt der Anrufung von Art. 13 EMRK in Verbindung mit Art. 9 EMRK keine selbständige Bedeutung zu. In diesem Rahmen ist die Beschwerdeführerin zur Beschwerde legitimiert.</w:t>
      </w:r>
    </w:p>
    <w:p>
      <w:r>
        <w:rPr>
          <w:b/>
        </w:rPr>
        <w:t>E. 2.2</w:t>
      </w:r>
    </w:p>
    <w:p>
      <w:r>
        <w:t>Im vorliegenden Fall rügt die Beschwerdeführerin nicht eigentlich das Fehlen einer Begründung überhaupt. Sie macht vielmehr geltend, die Motive des Landrates und damit der angefochtene Beschluss als solcher stützten sich letztlich auf Überlegungen, die gegen das Diskriminierungsverbot sowie gegen die Religionsfreiheit verstiessen.</w:t>
      </w:r>
    </w:p>
    <w:p>
      <w:r>
        <w:rPr>
          <w:b/>
        </w:rPr>
        <w:t>E. 3</w:t>
      </w:r>
    </w:p>
    <w:p>
      <w:r>
        <w:t>Die Beschwerdeführerin macht eine Verletzung des Diskriminierungsverbots nach Art. 8 Abs. 2 und Abs. 3 BV sowie der Religionsfreiheit gemäss Art. 15 BV und Art. 9 EMRK geltend. Gemäss Art. 8 Abs. 2 BV darf niemand diskriminiert werden, namentlich nicht wegen seiner Herkunft, Rasse und der religiösen, weltanschaulichen oder politischen Überzeugung. Eine Diskriminierung liegt vor, wenn eine Person ungleich behandelt wird aufgrund ihrer Zugehörigkeit zu einer bestimmten Gruppe, welche historisch oder in der gegenwärtigen sozialen Wirklichkeit tendenziell ausgegrenzt oder als minderwertig behandelt wird. Die Diskriminierung stellt eine qualifizierte Ungleichbehandlung von Personen in vergleichbaren Situationen dar, indem sie eine Benachteilung von Menschen bewirkt, die als Herabwürdigung oder Ausgrenzung einzustufen ist, weil sie an Unterscheidungsmerkmalen anknüpft, die einen wesentlichen und nicht oder nur schwer aufgebbaren Bestandteil der Identität der betroffenen Personen ausmacht. Eine indirekte oder mittelbare Diskriminierung liegt demgegenüber vor, wenn eine Regelung, die keine offensichtliche Benachteiligung von spezifisch gegen Diskriminierung geschützte Gruppen enthält, in ihren tatsächlichen Auswirkungen Angehörige einer solchen Gruppe besonders benachteiligt, ohne dass dies sachlich begründet wäre ( BGE 129 I 217 E. 2.1 S. 223 mit Hinweisen auf Rechtsprechung und Doktrin). Art. 15 Abs. 1 BV gewährleistet die Glaubens- und Gewissensfreiheit; nach Art. 15 Abs. 2 BV hat jede Person das Recht, ihre Religion und ihre weltanschauliche Überzeugung frei zu wählen und BGE 132 I 167 S. 170 allein oder in Gemeinschaft mit anderen zu bekennen. Einen entsprechenden Schutz gewährt Art. 9 Ziff. 1 EMRK , welchem für den vorliegenden Zusammenhang keine über Art. 15 BV hinausgehende Tragweite zukommt (vgl. BGE 123 I 296 E. 2b/aa S. 301). Im vorliegenden Fall kommt der Berufung auf Art. 15 BV und Art. 9 EMRK keine eigenständige Bedeutung zu. Der Beschwerdeführerin wird durch den angefochtenen Entscheid in keiner Weise versagt, ihre Religion frei zu wählen und auszuüben oder sie durch religiös bedingte Gewohnheiten wie das Verhalten im gesellschaftlichen Umfeld oder das Tragen von Kopftuch und langen Gewändern zu bekennen. Einen Eingriff in die Religionsfreiheit erblickt die Beschwerdeführerin im Umstand, dass sie wegen ihres Bekenntnisses zum Islam und den daraus folgenden Gewohnheiten nicht eingebürgert worden ist bzw. für eine erfolgreiche Einbürgerung ihre Religion aufgeben müsste. Dieser behauptete Eingriff wäre indessen ein indirekter. Er bedeutete, dass die Beschwerdeführerin wegen ihres religiösen Bekenntnisses im Einbürgerungsverfahren benachteiligt worden sei. Eine derartige Benachteiligung wäre indessen typischerweise dem Diskriminierungsverbot gemäss Art. 8 Abs. 2 BV zuzuordnen. Die Beschwerde ist daher unter diesem Gesichtswinkel zu beurteilen. Dabei zeigen die vorliegenden Gegebenheiten, dass sich nicht bloss die Frage einer diskriminierenden Behandlung wegen einer religiösen Überzeugung nach Art. 8 Abs. 2 BV stellt. Denn mit Entscheiden vom gleichen Tag hat der Landrat dem Vater und dem Bruder der Beschwerdeführerin, die sich gleichermassen zum Islam bekennen, das Kantonsbürgerrecht erteilt. Die Beschwerdeführerin macht daher zusätzlich geltend, dass sie wegen ihrer religiösen Überzeugung spezifisch als Frau benachteiligt werde. Aus dem Koran werde für Musliminnen das Gebot abgeleitet, das Kopftuch und lange Gewänder zu tragen und fremden Männern nicht die Hand zu reichen. Die Befolgung dieser Regeln habe sie im Einbürgerungsverfahren zusätzlich als Frau in diskriminierender Weise benachteiligt. Diese Rüge weist damit einen zusätzlichen Zusammenhang mit dem Verbot der Geschlechterdiskriminierung auf und ist daher auch unter dem Gesichtswinkel von Art. 8 Abs. 3 BV zu beurteilen.</w:t>
      </w:r>
    </w:p>
    <w:p>
      <w:r>
        <w:rPr>
          <w:b/>
        </w:rPr>
        <w:t>E. 4.1</w:t>
      </w:r>
    </w:p>
    <w:p>
      <w:r>
        <w:t>Für die Beurteilung der von der Beschwerdeführerin vorgetragenen Rüge, der Landratsbeschluss bzw. die Begründung lasse sich BGE 132 I 167 S. 171 vor dem Diskiminierungsverbot nicht halten, ist in erster Linie auf den offiziellen Antrag der (Mehrheit der) Petitionskommission und die von ihr dargelegten Motive abzustellen (vgl. BGE 131 I 18 E. 3.1 S. 20; Urteil 1P.516/2005 vom 19. Januar 2006). Gleichermassen sind die Diskussionsvoten im Landrat, mit denen der Antrag der Kommission unterstützt wurde, mitzuberücksichtigen. Im bundesgerichtlichen Verfahren ist schliesslich die Vernehmlassung des Rechtsdienstes, welche die Begründung der Petitionskommission präzisiert und zu der die Beschwerdeführerin hatte Stellung nehmen können, von Bedeutung. Demgegenüber tragen die Voten von Landräten, die dem Antrag der Petitionskommission entgegentraten und sich für die Gutheissung des Einbürgerungsgesuchs einsetzten, den angefochtenen Landratsbeschluss gerade nicht mit und sind für die Beurteilung der vorliegenden Beschwerde grundsätzlich ausser Acht zu lassen. Immerhin ist im Einzelfall nicht auszuschliessen, dass Minderheitsvoten gewisse Rückschlüsse auf Haltung und Begründung der Mehrheit zulassen und insoweit die Auffassung der Mehrheit in fragwürdigem Licht erscheinen lassen können. Im Einzelfall sind die verschiedenen, allenfalls voneinander abweichenden Begründungen miteinander in Beziehung zu setzen und entsprechend zu gewichten. Dabei ist für das bundesgerichtliche Verfahren von Bedeutung, dass ein kantonaler Entscheid auf staatsrechtliche Beschwerde hin nicht schon allein wegen einzelner Begründungselemente, sondern nur dann aufgehoben wird, wenn er sich auch im Ergebnis als verfassungswidrig erweist ( BGE 131 I 217 E. 2.1 S. 219; BGE 129 I 8 E. 2.1 S. 9; BGE 127 I 54 E. 2b S. 56; BGE 126 I 50 E. 4d S. 60).</w:t>
      </w:r>
    </w:p>
    <w:p>
      <w:r>
        <w:rPr>
          <w:b/>
        </w:rPr>
        <w:t>E. 4.2</w:t>
      </w:r>
    </w:p>
    <w:p>
      <w:r>
        <w:t>Die Petitionskommission hielt in ihrem schriftlichen Bericht und Antrag auf Abweisung des Einbürgerungsgesuches Folgendes fest: Einschätzung der Integrationswilligkeit Obwohl A. sich an diversen Orten um eine Arbeitsstelle bemüht hatte, musste sie immer wieder Absagen hinnehmen. So hatte sie sich in den letzten zwei Jahren nicht mehr um Arbeit und um bessere Deutsch-Sprachkenntnisse bemüht. Nach ihrer Meinung müsse jeder (Schweizer) selber entscheiden, wie er leben möchte. Sie lebe jedoch so, wie es der Koran vorschreibe. Ein Indiz für die Integration ist nicht die äussere Erscheinung, sondern die allmähliche Annäherung und Angleichung an die Kultur der BGE 132 I 167 S. 172 Bevölkerung des Aufnahmelandes. Diese Integrationswilligkeit sollte vor einer Einbürgerung klar ersichtlich sein. Im Zweifel muss ein Dossier gründlich hinterfragt werden. Wenn ein Zweifel beim Bund und Kanton nicht ausgeräumt werden kann, muss ein Nein zur Einbürgerung resultieren. Während eine Kommissionsminderheit der Meinung war, die Integrationserfordernisse seien erfüllt, verneinte dies eine knappe Mehrheit. Die Antragstellerin hat jederzeit die Möglichkeit, in einem späteren Zeitpunkt ein neues Gesuch zu stellen. In der mündlichen Berichterstattung im Landrat ist gleichermassen davon ausgegangen worden, dass eine Einbürgerung eine hinreichende Integration erfordere bzw. einen hinreichenden Integrationswillen bereits im Zeitpunkt der Gesuchstellung voraussetze. Als Indiz eines fehlenden bzw. ungenügenden Integrationswillens ist darauf hingewiesen worden, dass sich die Beschwerdeführerin in den letzten Jahren um keine Arbeitsstelle bemüht habe, dass sie über keinen (genügenden) Arbeitserwerb verfüge und damit von ihrem Vater bzw. ihren Verwandten abhängig sei. In gleicher Weise wird festgestellt, dass die Beschwerdeführerin in den letzten Jahren keine Anstrengungen zur Verbesserung ihrer Deutschkenntnisse unternommen habe. Es wird Gewicht darauf gelegt, dass die Beschwerdeführerin den Willen einer allmählichen Annäherung und Angleichung an die Kultur der schweizerischen Bevölkerung im Lichte einer tatsächlichen Integration bekunden müsste. Schliesslich wird in der Vernehmlassung des Rechtsdienstes darauf hingewiesen, dass die Beschwerdeführerin jeglichen Kontakt mit der Schweizer Bevölkerung meide, sich ganz überwiegend im Kreise ihrer Familie und mit muslimischen Landsfrauen aufhalte und keinerlei Wille zeige, auf die hiesige Bevölkerung zuzugehen.</w:t>
      </w:r>
    </w:p>
    <w:p>
      <w:r>
        <w:rPr>
          <w:b/>
        </w:rPr>
        <w:t>E. 4.3</w:t>
      </w:r>
    </w:p>
    <w:p>
      <w:r>
        <w:t>Die Beschwerdeführerin zieht das Fehlen der für eine Einbürgerung erforderlichen Integration bzw. eines entsprechenden Integrationswillens in ihrer Beschwerde nicht in Frage. Insbesondere macht sie nicht geltend, dass die entsprechenden Vorbringen der Petitionskommission und der Mehrheit des Landrates sowie die Erwägungen in der Vernehmlassung des Rechtsdienstes unzutreffend seien. Sie bringt auch nichts vor, was auf ihre tatsächliche Integration schliessen liesse. Für die Beurteilung der vorliegenden Beschwerde kommt entscheidendes Gewicht dem Umstand zu, dass sich die Beschwerdeführerin vorab im Kreise ihrer Familie bzw. im Kreise von muslimischen BGE 132 I 167 S. 173 Landsfrauen und der Moschee in Basel aufhält, nicht auf die hiesige Bevölkerung zugeht und diese gar meidet. Darin kann eine mangelnde Integration, ein unzureichender Integrationswille und eine ungenügende allmähliche Annäherung und Angleichung an die schweizerische Kultur und die hiesigen Gewohnheiten erblickt werden. Die Religion verbietet, soweit ersichtlich, den Kontakt mit der schweizerischen Bevölkerung und eine entsprechende Integration nicht. Der der Beschwerdeführerin vorgehaltene Mangel an Integration, an Integrationswille und Anpassung steht nicht in unmittelbarem Zusammenhang mit ihrer Religion, mit dem tatsächlichen Beachten und Leben des Islam und mit den aus dem Koran abgeleiteten Verhaltens- und Bekleidungsweisen. Er ist vielmehr Ausdruck der Auffassung, dass Personen nicht eingebürgert werden sollen, die sich von der schweizerischen Bevölkerung fernhalten und bewusst und freiwillig nicht in näheren Kontakt mit den Leuten des aufnehmenden Landes treten wollen. All diese Vorbringen sind, für sich genommen, neutral gehalten und lassen keine auf Religion, Rasse oder Herkunft beruhende Diskriminierung erkennen. Bei dieser Sachlage ist im bundesgerichtlichen Verfahren nicht darüber zu befinden, ob die einzelnen Begründungselemente in jeder Hinsicht materiell zutreffen, allenfalls von der bisherigen Praxis abweichen oder gar neue Kriterien einführen. Es ist daher unerheblich, wenn in der Debatte von Seiten der Befürworter des Einbürgerungsgesuches darauf hingewiesen worden ist, dass das Bemühen um eine Arbeitsstelle in der bisherigen Einbürgerungspraxis keine Rolle gespielt habe und dass auch Personen eingebürgert worden seien, die, soweit sie nicht der Öffentlichkeit zur Last fielen, über keine Arbeitsstelle verfügten und von Eltern oder Verwandten unterhalten wurden. Unerheblich ist desgleichen, dass die mündlichen Deutschkenntnisse der Beschwerdeführerin vom Kommissionssprecher als gut bezeichnet worden sind. Vor diesem Hintergrund kann nicht von einem Verstoss gegen Art. 8 Abs. 2 BV gesprochen werden. Das zeigt sich denn auch darin, dass der Vater und der Bruder der Beschwerdeführerin, die sich gleichermassen zum Islam bekennen, in Anbetracht ihrer Integration bzw. ihres Integrationswillens tatsächlich eingebürgert worden sind. Es kann auch nicht davon gesprochen werden, dass die Beschwerdeführerin wegen der aus dem Koran abgeleiteten Bekleidungsvorschriften spezifisch als Frau diskriminiert würde, da, wie der Rechtsdienst ausführt, in der Vergangenheit auch muslimische BGE 132 I 167 S. 174 Frauen, welche sich nach den Gepflogenheiten ihrer Religion kleiden, tatsächlich eingebürgert worden sind. Daran vermag der Einwand der die Einbürgerung unterstützenden Minderheit in der Kommission und im Landrat nichts zu ändern, wonach die Beschwerdeführerin nur dann Chancen auf eine Einbürgerung hätte, wenn sie ihr Kopftuch ablegen und somit ihrer religiösen Überzeugung entsagen würde. Auch die von Seiten der Minderheit in Kommission und Landrat mit Blick auf das Beachten der muslimischen Bekleidungsvorschriften emotional geführte Debatte vermochte nicht aufzuzeigen, dass die Beschwerdeführerin tatsächlich integriert sei, zumindest einen hinreichenden Integrationswillen an den Tag lege und letztlich bereit sei, in einen für eine Einbürgerung erforderlichen Kontakt mit der hiesigen Bevölkerung zu treten. Es kann daher, wie von den Befürwortern einer Einbürgerung vorgebracht, auch nicht gesagt werden, es fehle an einer tatsächlichen Begründung, worin die allmähliche Angleichung an schweizerische Gewohnheiten erblickt werde. Diese ist vielmehr darin zu sehen, dass die einbürgerungswillige Person tatsächlich in einen eigentlichen Kontakt mit der Bevölkerung des aufnehmenden Gemeinwesens trete und hierfür ein entsprechender Integrationswille bezeuge. Darin liegt weder eine (direkte oder indirekte) Benachteiligung wegen eines religiösen Bekenntnisses noch eine geschlechterspezifische Benachteiligung. Bei dieser Sachlage kann von einer Diskriminierung und von einem Verstoss gegen Art. 8 Abs. 2 in Verbindung mit Art. 8 Abs. 3 BV nicht gesprochen werden. Demnach erweist sich die Beschwerde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