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140</w:t>
      </w:r>
    </w:p>
    <w:p>
      <w:r>
        <w:t>Bundesgericht (BGE), 2006-01-01, IT</w:t>
      </w:r>
    </w:p>
    <w:p>
      <w:r>
        <w:rPr>
          <w:b/>
        </w:rPr>
        <w:t xml:space="preserve">Quelle: </w:t>
      </w:r>
      <w:r>
        <w:t>https://mcp.opencaselaw.ch/entscheid/bge_BGE_132_I_140</w:t>
      </w:r>
    </w:p>
    <w:p>
      <w:r>
        <w:t>FR: ATF 132 I 140</w:t>
      </w:r>
    </w:p>
    <w:p>
      <w:r>
        <w:t>IT: DTF 132 I 140</w:t>
      </w:r>
    </w:p>
    <w:p>
      <w:pPr>
        <w:pStyle w:val="Heading2"/>
      </w:pPr>
      <w:r>
        <w:t>Regeste</w:t>
      </w:r>
    </w:p>
    <w:p>
      <w:r>
        <w:t>Regeste Art. 6 Ziff. 1 EMRK, Art. 9 und 30 Abs. 1 BV, Art. 86 Abs. 1 und 88 OG; verwaltungsrechtlicher Vertrag; Entscheid einer Vertragspartei über die Tragweite des Vertrags; Fehlen eines kantonalen Rechtsmittels. Legitimation einer Gemeinde als Gebührenschuldnerin zur staatsrechtlichen Beschwerde (E. 1.3). Die Art. 6 Ziff. 1 EMRK und 30 BV schreiben keine richterliche Rechtsmittelinstanz im Abgaberecht vor (E. 2). Wird die Abgabepflicht durch einen verwaltungsrechtlichen Vertrag geregelt, ist es willkürlich, wenn eine Vertragspartei verbindlich über die Tragweite des Vertrags befinden kann, ohne dass der anderen Vertragspartei dagegen ausser der staatsrechtlichen Beschwerde an das Bundesgericht ein Rechtsmittel zur Verfügung stünde (E. 1.4 und 3). Überweisung der Akten an die kantonalen Behörden zur Schliessung der Lücke (E. 4.1).</w:t>
      </w:r>
    </w:p>
    <w:p>
      <w:r>
        <w:t>Regeste Art. 6 par. 1 CEDH, art. 9 et 30 al. 1 Cst., art. 86 al. 1 et 88 OJ; contrat de droit administratif; décision d'une partie contractante sur la portée du contrat; absence d'une voie de droit cantonale. Qualité d'une commune pour former un recours de droit public en tant que débitrice d'une taxe (consid. 1.3). Les art. 6 par. 1 CEDH et 30 Cst. n'imposent pas l'existence d'une autorité de recours judiciaire en matière fiscale (consid. 2). Si l'obligation fiscale est réglée par un contrat de droit administratif, il est néanmoins arbitraire que l'une des parties contractantes puisse se prononcer sur sa portée de façon contraignante en tant que pouvoir public, sans que l'autre partie dispose d'une voie de droit autre que le recours de droit public au Tribunal fédéral (consid. 1.4 et 3). Transmission du dossier aux autorités cantonales afin qu'elles comblent la lacune (consid. 4.1).</w:t>
      </w:r>
    </w:p>
    <w:p>
      <w:r>
        <w:t>Regesto Art. 6 n. 1 CEDU, art. 9 e 30 cpv. 1 Cost., art. 86 cpv. 1 e 88 OG; contratto di diritto amministrativo; decisione di una parte contraente sulla portata del contratto; assenza di rimedi giuridici cantonali. Legittimazione di un comune a presentare un ricorso di diritto pubblico in quanto debitore di tasse (consid. 1.3). Gli art. 6 n. 1 CEDU e 30 Cost. non impongono l'esistenza di un'autorità giudiziaria di ricorso in materia di tasse (consid. 2). Laddove l'obbligo contributivo è disciplinato da un contratto di diritto amministrativo, è comunque arbitrario che una delle parti contraenti possa pronunciarsi in maniera autoritativa sulla sua portata, senza che la controparte disponga di rimedi giuridici salvo il ricorso di diritto pubblico al Tribunale federale (consid. 1.4 e 3). Trasmissione degli atti alle autorità cantonali affinché pongano rimedio alla lacuna (consid. 4.1).</w:t>
      </w:r>
    </w:p>
    <w:p>
      <w:pPr>
        <w:pStyle w:val="Heading2"/>
      </w:pPr>
      <w:r>
        <w:t>Erwägungen</w:t>
      </w:r>
    </w:p>
    <w:p>
      <w:r>
        <w:rPr>
          <w:b/>
        </w:rPr>
        <w:t>E. 4.1</w:t>
      </w:r>
    </w:p>
    <w:p>
      <w:r>
        <w:t>In virtù di quanto precede, la decisione impugnata, in quanto pronuncia di ultima istanza cantonale, risulta arbitraria e deve perciò essere annullata. Non occorre quindi, né è peraltro ammissibile (cfr. consid. 3.2.4), esaminare in questa sede gli aspetti di merito della vertenza. Al riguardo va comunque rilevato che, oltre ad esporre i motivi per cui il privilegio accordatogli sarebbe ancora giustificato, il ricorrente contesta, a ragione, anche l'assenza di qualsiasi motivazione in merito al tasso d'interesse dell'8 % preteso sulle fatture fino al mese di dicembre del 1998. Compete alle autorità cantonali, che in ambito di organizzazione giudiziaria dispongono di un'ampia libertà decisionale, adeguare il sistema dei mezzi d'impugnazione ed operare le scelte che si BGE 132 I 140 S. 152 impongono dal profilo costituzionale, per mezzo di una diversa interpretazione delle norme esistenti o mediante opportune modifiche legislative ( DTF 125 I 406 consid. 3a; sentenza 1P.109/2002 del 12 aprile 2002, in: RDAT 2002 II n. 70 pag. 254, consid. 2.2). Gli atti vanno perciò trasmessi al Consiglio di Stato, a cui incombe la vigilanza sull'attività dell'Ente (art. 15 lett. a LESR), affinché si adoperi e provveda in tal senso (cfr. GRISEL, op. cit., pag. 455 seg.).</w:t>
      </w:r>
    </w:p>
    <w:p>
      <w:r>
        <w:rPr>
          <w:b/>
        </w:rPr>
        <w:t>E. 4.2</w:t>
      </w:r>
    </w:p>
    <w:p>
      <w:r>
        <w:t>Le spese processuali vanno poste a carico dell'Ente per lo smaltimento dei rifiuti del Sottoceneri, secondo soccombenza e ritenuto che la vertenza concerne direttamente i suoi interessi pecuniari ( art. 156 cpv. 1 e 2 OG ). Al Comune di Bioggio, che, vista la sua entità, è privo di un servizio giuridico proprio e si è fatto assistere da un avvocato, va riconosciuta un'indennità per ripetibili ( art. 159 cpv. 1 e 2 OG ; DTF 125 I 182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