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134</w:t>
      </w:r>
    </w:p>
    <w:p>
      <w:r>
        <w:t>Bundesgericht (BGE), 2006-05-04, FR</w:t>
      </w:r>
    </w:p>
    <w:p>
      <w:r>
        <w:rPr>
          <w:b/>
        </w:rPr>
        <w:t xml:space="preserve">Quelle: </w:t>
      </w:r>
      <w:r>
        <w:t>https://mcp.opencaselaw.ch/entscheid/bge_BGE_132_I_134</w:t>
      </w:r>
    </w:p>
    <w:p>
      <w:r>
        <w:t>FR: ATF 132 I 134</w:t>
      </w:r>
    </w:p>
    <w:p>
      <w:r>
        <w:t>IT: DTF 132 I 134</w:t>
      </w:r>
    </w:p>
    <w:p>
      <w:pPr>
        <w:pStyle w:val="Heading2"/>
      </w:pPr>
      <w:r>
        <w:t>Regeste</w:t>
      </w:r>
    </w:p>
    <w:p>
      <w:r>
        <w:t>Regeste Art. 6 Ziff. 1 EMRK, Art. 29 Abs. 1 und 30 Abs. 1 BV; Sicherstellung der Parteientschädigung der Gegenpartei durch die Klägerin. Der Anspruch auf Zugang zum Gericht schliesst nicht aus, dass von der Klägerin eine Sicherstellung verlangt wird, die dazu bestimmt ist, ohne Unterscheidung zukünftige wie auch der Beklagten bereits erwachsene Prozesskosten zu decken (E. 2.2). Die Sicherstellung kann sich auch auf die Kosten beziehen, die infolge einer Verrechnungseinrede der Beklagten entstehen (E. 2.3).</w:t>
      </w:r>
    </w:p>
    <w:p>
      <w:r>
        <w:t>Regeste Art. 6 par. 1 CEDH, art. 29 al. 1 et 30 al. 1 Cst.; sûretés exigées de la partie demanderesse en garantie des dépens de l'autre partie. La garantie du droit d'accès aux tribunaux n'exclut pas d'exiger des sûretés destinées à couvrir indistinctement les frais futurs de la partie défenderesse et ceux que cette partie a déjà subis dans le procès (consid. 2.2). Les sûretés peuvent aussi couvrir les frais résultant de l'exception de compensation de la partie défenderesse (consid. 2.3).</w:t>
      </w:r>
    </w:p>
    <w:p>
      <w:r>
        <w:t>Regesto Art. 6 n. 1 CEDU, art. 29 cpv. 1 e 30 cpv. 1 Cost.; garanzie pretese dalla parte attrice per le spese ripetibili della controparte. Il diritto di accedere alla giustizia non esclude la possibilità di esigere dalla parte attrice la prestazione di garanzie destinate a coprire, indistintamente, le spese future della parte convenuta e le spese che questa medesima parte ha già sopportato nel processo (consid. 2.2). Le garanzie possono coprire anche le spese cagionate dall'eccezione di compensazione sollevata dalla parte convenuta (consid. 2.3).</w:t>
      </w:r>
    </w:p>
    <w:p>
      <w:pPr>
        <w:pStyle w:val="Heading2"/>
      </w:pPr>
      <w:r>
        <w:t>Erwägungen</w:t>
      </w:r>
    </w:p>
    <w:p>
      <w:r>
        <w:rPr>
          <w:b/>
        </w:rPr>
        <w:t>E. 2</w:t>
      </w:r>
    </w:p>
    <w:p>
      <w:r>
        <w:t>Il est constant qu'en raison du caractère civil de la prétention qu'ils élèvent contre Y. SA, les recourants ont le droit de faire valoir cette prétention devant un tribunal, selon les art. 6 par. 1 CEDH et 30 al. 1 Cst., et d'obtenir un procès équitable devant ce tribunal, conformément à cette même disposition conventionnelle et à l' art. 29 al. 1 Cst.</w:t>
      </w:r>
    </w:p>
    <w:p>
      <w:r>
        <w:rPr>
          <w:b/>
        </w:rPr>
        <w:t>E. 2.1</w:t>
      </w:r>
    </w:p>
    <w:p>
      <w:r>
        <w:t>Selon la jurisprudence de la Cour européenne des droits de l'homme relative à l' art. 6 par. 1 CEDH , le droit d'accéder aux tribunaux nécessite de par sa nature même une réglementation par les Etats parties à la Convention. Ceux-ci jouissent, à ce sujet, d'une certaine marge d'appréciation et ils peuvent donc prévoir certaines limitations, pour autant que celles-ci ne portent pas atteinte à la substance même du droit d'accès aux tribunaux, qu'elles tendent à un but légitime et qu'il existe un rapport raisonnable de proportionnalité entre les limitations instituées et le but visé (arrêt de la CourEDH dans la cause Garcia contre Espagne du 15 février 2000, par. 36; voir aussi les arrêts Patronono contre Italie du 20 avril 2006, par. 58, et Besseau contre France du 6 mars 2006, par. 23). La Cour a notamment reconnu comme légitime de réclamer d'une partie appelante le versement d'une cautio judicatum solvi afin d'éviter que la partie appelée ne se trouve confrontée, en cas de rejet de l'appel, à l'impossibilité de recouvrer ses frais de justice (arrêt Tolstoy contre Royaume-Uni du 13 juillet 1995, par. 61; voir aussi l'arrêt Kreuz contre Pologne du 19 juin 2001, par. 54). Selon la jurisprudence du Tribunal fédéral, des principes semblables s'appliquent au droit d'accès aux tribunaux qui est garanti par la Constitution fédérale ( ATF 131 II 169 consid. 2.2.3 p. 173/174; ATF 130 I 312 consid. 4.2 p. 326; ATF 129 V 196 consid. 4.1 p. 198). Ce droit nécessite d'être concrétisé par la législation; dans ce contexte, l' art. 36 Cst. , qui vise au premier chef la restriction des libertés fondamentales, s'applique par analogie aux limitations éventuellement prévues ( ATF 129 I 135 consid. 8.2 p. 42). Les recourants se réfèrent à l' art. 36 al. 3 Cst. , qui consacre le principe de la proportionnalité, pour soutenir que le montant de 400'000 fr. est excessif.</w:t>
      </w:r>
    </w:p>
    <w:p>
      <w:r>
        <w:rPr>
          <w:b/>
        </w:rPr>
        <w:t>E. 2.2</w:t>
      </w:r>
    </w:p>
    <w:p>
      <w:r>
        <w:t>Ledit montant est issu d'une évaluation portant sur l'ensemble des frais déjà exposés ou restant à exposer, pour les intimées, du commencement du procès jusqu'à l'issue d'une éventuelle instance d'appel. Les recourants reprochent aux précédents juges d'avoir pris en BGE 132 I 134 S. 138 considération aussi ces frais déjà exposés avant le 30 avril 2005, date à laquelle les intimées ont réitéré l'exception tendant aux sûretés. Ils invoquent la jurisprudence du Tribunal fédéral relative à l' art. 150 al. 2 OJ , selon laquelle seuls des frais futurs, postérieurs à la demande de sûretés, peuvent être couverts par cette garantie (arrêt 4P.282/2001 du 3 avril 2002, consid. 1; ATF 118 II 87 consid. 2 p. 88; 79 II 295 consid. 3 p. 305). Selon la jurisprudence cantonale relative à l' art. 102 al. 1 LPC /GE, les sûretés doivent être demandées d'entrée de cause devant le Tribunal de première instance, de manière que la partie demanderesse soit avertie de tous les risques du procès avant qu'elle ait exposé des frais autres que ceux nécessaires à l'introduction de l'instance. Les sûretés peuvent encore être requises au moment de l'appel à la Cour de justice, mais seulement pour couvrir les dépens d'appel. On réserve les cas où le droit aux sûretés ne prend naissance que pendant le procès, en raison d'une modification dans la situation des parties; le défendeur doit alors agir immédiatement (BERNARD BERTOSSA/ LOUIS GAILLARD et al., Commentaire de la loi de procédure civile du canton de Genève du 10 avril 1987, ch. 4 ad art. 102 LPC /GE). En l'espèce, c'est précisément le changement de domicile de X. qui a permis aux intimées d'obtenir les sûretés en cours de procès. Certaines législations cantonales diffèrent de celle en vigueur à Genève et prévoient que les sûretés peuvent être requises aussi en cours de procès ( Valais : art. 264 al. 1 CPC ; Vaud : art. 96 al. 2 CPC ), alors même qu'elles auraient pu l'être déjà au début, ou encore qu'elles peuvent être augmentées si elles se révèlent insuffisantes ( Zurich : § 79 al. 1 ZPO; Berne : art. 71 CPC ; Valais : art. 265 al. 1 CPC ; Vaud: art. 100 CPC ). Dans les cantons de Zurich et de Berne, de même qu'en Allemagne, il est admis que les sûretés doivent couvrir non seulement les frais futurs mais aussi, le cas échéant, ceux que la partie défenderesse a déjà subis dans le procès (RICHARD FRANK, Kommentar zur zürcherischen Zivilprozessordnung, 3 e éd., ch. 3 ad § 79; GEORG LEUCH, Die Zivilprozessordnung für den Kanton Bern, 5 e éd., ch. 1 let. c ad art. 71; ADOLF BAUMBACH et al., Zivilprozessordnung, 64 e éd., Munich 2006, ch. 6 ad § 112 ZPO). La solution contraire pratiquée par le Tribunal fédéral, dans l'application de l' art. 150 al. 2 OJ , ne semble donc pas correspondre à un principe fondamental et généralement reconnu de la procédure civile, principe qui s'imposerait aussi dans l'application des législations cantonales; elle paraît surtout adaptée aux procédures de recours qui BGE 132 I 134 S. 139 s'accomplissent devant le Tribunal fédéral, dans lesquelles, en règle générale, la partie intimée se borne à déposer un unique mémoire. Pour le surplus, les sûretés répondent sans doute à un objectif légitime, au regard de l' art. 6 par. 1 CEDH , aussi lorsqu'elles garantissent indistinctement des frais déjà subis et des frais futurs. Les recourants ne cherchent pas à démontrer le contraire et on ne discerne pas ce qui pourrait justifier une pareille opinion. Or, dans la mesure où il est approprié à un objectif légitime, le montant des sûretés ne saurait être tenu pour disproportionné.</w:t>
      </w:r>
    </w:p>
    <w:p>
      <w:r>
        <w:rPr>
          <w:b/>
        </w:rPr>
        <w:t>E. 2.3</w:t>
      </w:r>
    </w:p>
    <w:p>
      <w:r>
        <w:t>Le Tribunal de première instance a pris en considération, outre la valeur litigieuse, les difficultés inhérentes à un débat judiciaire portant sur des questions de droit étranger. Les recourants contestent la pertinence de cet élément d'appréciation. Ils affirment que le litige relatif au contrat de séquestre ne nécessite qu'une instruction très simple. Certes, les intimées opposent en compensation une prétention qu'elles fondent sur des éléments exorbitants de ce contrat; toutefois, selon les recourants, seuls les tribunaux anglais sont compétents pour connaître de cette prétention. Dans les causes soumises au droit civil fédéral, la compensation peut toujours intervenir conformément à ce droit et, par conséquent, le juge appelé à statuer sur la prétention principale doit aussi statuer sur l'existence de la prétention opposée à fin de compensation. En principe, quelles que soient les règles du droit cantonal de procédure, le droit fédéral interdit au juge d'éconduire le défendeur de son exception de compensation pour le renvoyer à agir devant un autre juge, si ce n'est devant un autre juge du même canton ( ATF 85 II 103 consid. 2 p. 106; voir aussi ATF 124 III 207 consid. 3b/bb p. 210). En l'occurrence, pour autant que les clauses contractuelles relatives à l'élection de droit ne donnent pas elles aussi lieu à contestation, il semble que la cause soit soumise au droit anglais. Néanmoins, on ne peut pas exclure d'emblée qu'en conformité de ce droit, à appliquer selon l' art. 148 al. 2 LDIP , ou du droit cantonal, les tribunaux genevois puissent ou doivent admettre leur compétence pour instruire et statuer aussi sur la prétention compensante des intimées. Par ailleurs, même si une cause se révèle plus compliquée et difficile que prévu, le droit genevois ne permet pas d'augmenter en cours d'instance les sûretés exigées du demandeur. Dans ces conditions, les juges n'ont pas violé le principe de la proportionnalité en tenant compte, dans l'évaluation du montant à exiger pour les sûretés, des difficultés inhérentes à tous les moyens soulevés dans le procès, y compris l'exception de compensation. BGE 132 I 134 S. 140 Le grief que les recourants prétendent tirer de l' art. 36 al. 3 Cst. , en relation avec les art. 6 par. 1 CEDH , 29 al. 1 et 30 al. 1 Cst., se révèle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