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89</w:t>
      </w:r>
    </w:p>
    <w:p>
      <w:r>
        <w:t>Bundesgericht (BGE), 2006-01-01, DE</w:t>
      </w:r>
    </w:p>
    <w:p>
      <w:r>
        <w:rPr>
          <w:b/>
        </w:rPr>
        <w:t xml:space="preserve">Quelle: </w:t>
      </w:r>
      <w:r>
        <w:t>https://mcp.opencaselaw.ch/entscheid/bge_BGE_132_IV_89</w:t>
      </w:r>
    </w:p>
    <w:p>
      <w:r>
        <w:t>FR: ATF 132 IV 89</w:t>
      </w:r>
    </w:p>
    <w:p>
      <w:r>
        <w:t>IT: DTF 132 IV 89</w:t>
      </w:r>
    </w:p>
    <w:p>
      <w:pPr>
        <w:pStyle w:val="Heading2"/>
      </w:pPr>
      <w:r>
        <w:t>Regeste</w:t>
      </w:r>
    </w:p>
    <w:p>
      <w:r>
        <w:t>Regeste Art. 340 f. StGB, Art. 26 lit. a SGG; Bundesgerichtsbarkeit oder kantonale Gerichtsbarkeit. Wenn die Strafkammer des Bundesstrafgerichts die Bundesgerichtsbarkeit verneint und deshalb auf eine Anklage der Bundesanwaltschaft nicht eintritt, ist die eidgenössische Nichtigkeitsbeschwerde ans Bundesgericht zulässig (E. 1). Wenn die eidgenössischen und kantonalen Strafverfolgungsbehörden eine Vereinbarung über die Bundesgerichtsbarkeit getroffen haben, darf die Strafkammer des Bundesstrafgerichts diese nur in Frage stellen, wenn die Vereinbarung auf einem eigentlichen Missbrauch des Ermessens beruht (E. 2). Beim Vorwurf der Anstiftung zu falschem Zeugnis gemäss Art. 307 StGB kommt es für die Frage, ob eidgenössische oder kantonale Gerichtsbarkeit gegeben ist, darauf an, ob ein Verfahren der Bundesrechtspflege oder der kantonalen Rechtspflege betroffen ist (E. 3).</w:t>
      </w:r>
    </w:p>
    <w:p>
      <w:r>
        <w:t>Regeste Art. 340 s. CP, art. 26 let. a LTPF; juridiction fédérale ou cantonale. Lorsque la cour des affaires pénales du Tribunal pénal fédéral ne reconnaît pas la juridiction fédérale et donc n'entre pas en matière sur l'acte d'accusation du Procureur général de la Confédération, le pourvoi en nullité au Tribunal fédéral est recevable (consid. 1). Lorsque les autorités de poursuite pénale de la Confédération et des cantons ont trouvé un accord sur la juridiction fédérale, la cour des affaires pénales du Tribunal pénal fédéral ne peut le remettre en cause que si cet accord est le fruit d'un abus du pouvoir d'appréciation (consid. 2). En cas de prévention d'instigation à faux témoignage au sens de l'art. 307 CP, la compétence fédérale ou cantonale dépend de la question de savoir si c'est une procédure fédérale ou cantonale qui est touchée (consid. 3).</w:t>
      </w:r>
    </w:p>
    <w:p>
      <w:r>
        <w:t>Regesto Art. 340 segg. CP, art. 26 lett. a LTPF; giurisdizione federale o cantonale. Contro una decisione della Corte penale del Tribunale penale federale, mediante la quale viene negata la giurisdizione federale e di conseguenza l'entrata in materia su di un atto di accusa del Ministero pubblico della Confederazione, è ammissibile il ricorso per cassazione al Tribunale federale (consid. 1). Se le autorità federali e cantonali responsabili del perseguimento penale si sono accordate sulla giurisdizione federale, quest'ultima può essere rimessa in discussione dalla Corte penale del Tribunale penale federale soltanto se l'accordo è frutto di un esercizio propriamente abusivo del potere d'apprezzamento (consid. 2). In caso di istigazione ad una falsa testimonianza giusta l'art. 307 CP, la giurisdizione è federale se il reato concerne un procedimento giudiziario federale, viceversa è cantonale se il reato concerne un procedimento giudiziario cantonale (consid. 3).</w:t>
      </w:r>
    </w:p>
    <w:p>
      <w:pPr>
        <w:pStyle w:val="Heading2"/>
      </w:pPr>
      <w:r>
        <w:t>Erwägungen</w:t>
      </w:r>
    </w:p>
    <w:p>
      <w:r>
        <w:rPr>
          <w:b/>
        </w:rPr>
        <w:t>E. 1</w:t>
      </w:r>
    </w:p>
    <w:p>
      <w:r>
        <w:t>Das Bundesstrafgericht in Bellinzona ist das erstinstanzliche Strafgericht des Bundes ( Art. 191a Abs. 1 BV ; Art. 1 Abs. 1 des Bundesgesetzes vom 4. Oktober 2002 über das Bundesstrafgericht [Strafgerichtsgesetz, SGG; SR 173.71]). Seine Strafkammer beurteilt Strafsachen, die nach den Artikeln 340 und 340 bis StGB der Bundesstrafgerichtsbarkeit unterstehen, soweit der Bundesanwalt die Untersuchung und Beurteilung nicht den kantonalen Behörden übertragen hat ( Art. 26 lit. a SGG ). Die Entscheide der Strafkammer des Bundesstrafgerichts können beim Kassationshof des Bundesgerichts mit Nichtigkeitsbeschwerde angefochten werden ( Art. 1 Abs. 2 und Art. 33 Abs. 3 lit. b SGG ). Das Verfahren richtet sich nach den Art. 268 ff. BStP , wobei der Bundesanwalt zur Beschwerde berechtigt ist ( Art. 33 Abs. 3 lit. b SGG ). Die Nichtigkeitsbeschwerde der Bundesanwaltschaft wird damit begründet, dass der Nichteintretensentscheid der Strafkammer des Bundesstrafgerichts eidgenössisches Recht verletze, was den zulässigen Rügegründen des Art. 269 Abs. 1 BStP entspricht. Fragen liesse sich indessen, ob die Nichtigkeitsbeschwerde BGE 132 IV 89 S. 93 ausgeschlossen ist, weil dem Streit ein Zuständigkeitskonflikt zu Grunde liegt. Tatsächlich haben der Kassationshof des Bundesgerichts und die frühere Anklagekammer stets an der Auffassung festgehalten, dass aArt. 264 BStP, wonach Gerichtsstandskonflikte von der Anklagekammer zu entscheiden waren, als Sonderbestimmung dem Art. 268 BStP vorging, was selbst dann galt, wenn ein kantonales Gericht seine Zuständigkeit verneinte ( BGE 91 IV 107 ). Heute ist für die Entscheidung von Anständen zwischen den Kantonen, aber auch von Anständen zwischen Bund und Kantonen die Beschwerdekammer des Bundesstrafgerichts zuständig ( Art. 279 und Art. 260 BStP ), wobei die Beschwerde gegen solche Entscheide an das Bundesgericht ausgeschlossen ist ( Art. 33 Abs. 3 lit. a SGG , e contrario). Wenngleich es somit dabei bleiben muss, dass Gerichtsstandskonflikte zwischen den Kantonen, aber auch Anstände zwischen den Strafverfolgungsbehörden von Bund und Kantonen definitiv durch die Beschwerdekammer des Bundesstrafgerichts entschieden werden, kann es sich nicht gleich verhalten, wenn es die Strafkammer des Bundesstrafgerichts ist, welche den Zuständigkeitskonflikt durch einen Nichteintretensentscheid auslöst. Es wäre nicht sachgerecht, wenn dieser Konflikt durch die andere Kammer desselben Gerichts geregelt werden müsste. Vielmehr muss in einem solchen Fall die Nichtigkeitsbeschwerde wegen Verletzung eidgenössischen Rechts zugelassen werden. Mithin ist auf die fristgerecht erhobene Beschwerde der Bundesanwaltschaft einzutreten.</w:t>
      </w:r>
    </w:p>
    <w:p>
      <w:r>
        <w:rPr>
          <w:b/>
        </w:rPr>
        <w:t>E. 2</w:t>
      </w:r>
    </w:p>
    <w:p>
      <w:r>
        <w:t>Gemäss Art. 340 bis StGB unterstehen der Bundesgerichtsbarkeit unter anderem die strafbaren Handlungen nach Art. 260 ter StGB sowie die Verbrechen, die von einer kriminellen Organisation im Sinne dieser Bestimmung ausgehen, sofern die strafbaren Handlungen zu einem wesentlichen Teil im Ausland (lit. a) oder in mehreren Kantonen begangen wurden und dabei kein eindeutiger Schwerpunkt in einem Kanton besteht (lit. b). Die Bundesgerichtsbarkeit ist zwingend im Unterschied zu den in Art. 340 bis Abs. 2 StGB genannten Verbrechen des zweiten und des elften Titels, wo die Eröffnung des Ermittlungsverfahrens durch die Bundesanwaltschaft die Bundesgerichtsbarkeit begründet (Abs. 3). Allerdings ändert der zwingende Charakter der Bundesgerichtsbarkeit nichts daran, dass diese in hohem Masse unbestimmt ist und nicht trennscharf bestimmt werden kann. Dies gilt nicht nur, was den Begehungsort, sondern auch was den Tatbestand der kriminellen Organisation BGE 132 IV 89 S. 94 selbst betrifft, wobei hinzukommt, dass die Eröffnung eines Verfahrens nach Art. 260 ter StGB nicht Voraussetzung der Zuständigkeit ist, sondern es genügt, dass das Verbrechen von einer solchen Organisation ausgeht. Wie es sich damit verhält, kann vielfach zu Beginn einer Untersuchung nicht mit Bestimmtheit festgestellt werden. Gleich wie bei der Bestimmung des interkantonalen Gerichtsstandes, sind auch die Strafverfolgungsbehörden des Bundes und der Kantone gehalten, sich über die Zuständigkeit zu verständigen. Erst wenn eine solche Verständigung scheitert, liegt ein Kompetenzkonflikt vor, und unterbreitet die Strafverfolgungsbehörde, die zuerst mit dem Fall befasst war, die Angelegenheit der Beschwerdekammer des Bundesstrafgerichts ( Art. 279 Abs. 1 BStP ; SCHWERI/ BÄNZIGER, Interkantonale Gerichtsstandsbestimmung in Strafsachen, 2. Aufl., Bern 2004, Rz. 561 ff.). Kommt es demgegenüber zu einer Einigung, so kann der Beschuldigte an die Beschwerdekammer des Bundesstrafgerichts gelangen (Art. 279 Abs. 2 i.V.m. Art. 214 Abs. 2 BStP ; vgl. BGE 128 IV 225 E. 2.3), was er hier aber nicht getan hat. Nach der Rechtsprechung ist eine nachträgliche Änderung der einmal vereinbarten Zuständigkeit zwar grundsätzlich möglich, es bedarf dafür aber triftiger Gründe ( BGE 120 IV 282 E. 3a S. 286; BGE 107 IV 158 E. 1; 71 IV 60 E. 1). Das ergibt sich namentlich bei fortgeschrittener Untersuchung bereits daraus, dass Gründe der Effizienz und der beschleunigten Durchführung des Verfahrens gegen eine solche Änderung sprechen ( BGE 130 IV 68 E. 2.4; BGE 128 IV 225 E. 3.5; BGE 120 IV 282 E. 3b S. 286). Die Strafkammer des Bundesstrafgerichts wird daher eine Vereinbarung zwischen den eidgenössischen und kantonalen Strafverfolgungsbehörden über die Zuständigkeit nur in Frage stellen dürfen, wenn diese auf einem eigentlichen Missbrauch des Ermessens beruht ( BGE 120 IV 282 E. 3a S. 286; BGE 119 IV 250 E. 3c; BGE 117 IV 90 E. 4a). Nach diesem Massstab hatte die Strafkammer des Bundesstrafgerichts keinen Anlass, die Bundesgerichtsbarkeit in Frage zu stellen. Wohl trifft zu, dass die Bundesanwaltschaft zunächst ihre Zuständigkeit verneinte und auch nach Übernahme des Falles noch erklärte, sie würde die rechtlichen Überlegungen des Generalprokurators des Kantons Bern nicht integral anerkennen. Dieser hatte ausgeführt, Hintergrund der Straftaten sei eine grössere BGE 132 IV 89 S. 95 Organisation von Griechen, welche eines der grössten Labors zur Herstellung von Amphetamintabletten betrieben. Verwiesen wurde weiter auf die erhebliche Bedeutung des Drogengeschäftes, auf den beachtlichen Organisationsgrad der Täterschaft und den multinationalen Kontext (Produktion in Griechenland, Export in Schiffsgeneratoren nach den Arabischen Emiraten, Transport und Verkauf in Westeuropa, Rückfluss des Gewinnes über verschiedene Finanzinstitute zurück nach Griechenland). Im Schlussbericht des Eidgenössischen Untersuchungsrichters wird ferner festgehalten, Gegenstand des Verfahrens sei eine arbeitsteilige und methodisch hoch professionelle Produktion von Amphetaminen, welche einerseits im Rahmen einer betrieblichen Hierarchie erfolgt sei, anderseits als illegaler Bereich in den legalen Produktionsbereich der A. integriert und gleichzeitig abgeschottet gewesen sei. Zutritt zu den Räumlichkeiten hätten bloss die Beschuldigten als unmittelbar Mitwirkende gehabt, und Kontakte zwischen den Mitarbeitenden der A. zu dem für die Produktion zuständigen D. seien unterbunden worden. Die getätigte Investition des Kaufes eines Reaktors mache deutlich, dass die Produktion auf Dauer angelegt gewesen sei. Bei dieser Ausgangslage kann jedenfalls nicht gesagt werden, es habe keinen sachlichen Hintergrund für die Annahme gegeben, die Straftaten seien von einer kriminellen Organisation ausgegangen. Dass der Bundesanwalt die rechtlichen Ausführungen des Generalprokurators nicht vollumfänglich teilen wollte, ändert hieran nichts. Vereinbarungen über die Zuständigkeit werden nicht selten trotz unterschiedlicher Auffassungen der beteiligten Strafverfolgungsbehörden geschlossen, was aber die Einigung nicht missbräuchlich erscheinen lässt. Erweist sich die Bejahung der Bundesgerichtsbarkeit demnach als haltbar, so hätte die Strafkammer des Bundesstrafgerichts auf die Anklage eintreten müssen.</w:t>
      </w:r>
    </w:p>
    <w:p>
      <w:r>
        <w:rPr>
          <w:b/>
        </w:rPr>
        <w:t>E. 3</w:t>
      </w:r>
    </w:p>
    <w:p>
      <w:r>
        <w:t>Die Strafkammer des Bundesstrafgerichts verneint auch die Zuständigkeit für die Beurteilung der Anklage wegen Anstiftung zu falschem Zeugnis ( Art. 307 StGB ). Gemäss Art. 340 Ziff. 1 al. 7 StGB unterstehen der Bundesgerichtsbarkeit unter anderem die strafbaren Handlungen des 17. Titels, sofern sie gegen die Behörden des Bundes oder gegen die Bundesrechtspflege gerichtet sind. In Frage steht die Beeinflussung von Zeugen, welche auf Begehren der Strafverfolgungsbehörde des Bundes in Griechenland rechtshilfeweise einvernommen wurden. Für die Zuständigkeit kann BGE 132 IV 89 S. 96 es nur darauf ankommen, ob ein Verfahren der kantonalen Rechtspflege oder aber der Bundesrechtspflege betroffen ist. Da hier das zweite zutrifft, ist Bundesgerichtsbarkeit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