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57</w:t>
      </w:r>
    </w:p>
    <w:p>
      <w:r>
        <w:t>Bundesgericht (BGE), 2005-12-22, FR</w:t>
      </w:r>
    </w:p>
    <w:p>
      <w:r>
        <w:rPr>
          <w:b/>
        </w:rPr>
        <w:t xml:space="preserve">Quelle: </w:t>
      </w:r>
      <w:r>
        <w:t>https://mcp.opencaselaw.ch/entscheid/bge_BGE_132_IV_57</w:t>
      </w:r>
    </w:p>
    <w:p>
      <w:r>
        <w:t>FR: ATF 132 IV 57</w:t>
      </w:r>
    </w:p>
    <w:p>
      <w:r>
        <w:t>IT: DTF 132 IV 57</w:t>
      </w:r>
    </w:p>
    <w:p>
      <w:pPr>
        <w:pStyle w:val="Heading2"/>
      </w:pPr>
      <w:r>
        <w:t>Regeste</w:t>
      </w:r>
    </w:p>
    <w:p>
      <w:r>
        <w:t>Regeste Art. 251 StGB; Fälschung. Eine vom Schuldner unter falschem Namen unterschriebene Schuldanerkennung stellt eine Urkundenfälschung dar, sobald sie den Gläubiger daran hindert, seine Ansprüche im Prozess geltend zu machen (E. 5).</w:t>
      </w:r>
    </w:p>
    <w:p>
      <w:r>
        <w:t>Regeste Art. 251 CP; faux matériel. Une reconnaissance de dette signée par le débiteur sous un faux nom constitue un faux matériel dès lors que le créancier sera entravé pour faire valoir ses droits en procédure (consid. 5).</w:t>
      </w:r>
    </w:p>
    <w:p>
      <w:r>
        <w:t>Regesto Art. 251 CP; falsità in documenti. Il debitore che firma un riconoscimento di debito sotto falso nome forma un documento falso (falsità materiale) dal momento in cui per il creditore ne deriva un impedimento nel far valere i propri diritti in sede processuale (consid. 5).</w:t>
      </w:r>
    </w:p>
    <w:p>
      <w:pPr>
        <w:pStyle w:val="Heading2"/>
      </w:pPr>
      <w:r>
        <w:t>Erwägungen</w:t>
      </w:r>
    </w:p>
    <w:p>
      <w:r>
        <w:rPr>
          <w:b/>
        </w:rPr>
        <w:t>E. 5</w:t>
      </w:r>
    </w:p>
    <w:p>
      <w:r>
        <w:t>La Chambre pénale reproche à la recourante d'avoir signé les attestations du 10 décembre 2003 sous le nom de Z. pour ensuite les utiliser comme quittances de l'argent reçu en prêt, le tout en s'appuyant sur la fausse carte d'identité française établie au même nom. Pour la recourante, ces documents ne constituent pas des titres au sens de l' art. 110 ch. 5 CP et sa condamnation pour violation de l' art. 251 CP viole le droit fédéral.</w:t>
      </w:r>
    </w:p>
    <w:p>
      <w:r>
        <w:rPr>
          <w:b/>
        </w:rPr>
        <w:t>E. 5.1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(cf. ATF 126 IV 65 consid. 2a p. 67 et les références citées). Selon l' art. 251 ch. 1 CP sera puni de la réclusion pour cinq ans au plus ou de l'emprisonnement celui qui, dans le dessein de porter BGE 132 IV 57 S. 60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w:t>
      </w:r>
    </w:p>
    <w:p>
      <w:r>
        <w:rPr>
          <w:b/>
        </w:rPr>
        <w:t>E. 5.1.1</w:t>
      </w:r>
    </w:p>
    <w:p>
      <w:r>
        <w:t>Il y a faux matériel lorsque une personne fabrique un titre dont l'auteur réel ne coïncide pas avec l'auteur apparent. Le faussaire crée un titre qui trompe sur l'identité de celui dont il émane en réalité (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GRIBBOHM, StGB, Leipziger Kommentar, Grosskommentar, 11 e éd., § 267 n. 163 et 165; P. CRAMER, in A. Schönke/H. Schröder, Strafgesetzbuch, Kommentar, 26 e éd., § 267 n. 49). Il est également sans importance de savoir si le contenu d'un tel titre est mensonger ou non ( ATF 123 IV 17 consid. 2 p. 21).</w:t>
      </w:r>
    </w:p>
    <w:p>
      <w:r>
        <w:rPr>
          <w:b/>
        </w:rPr>
        <w:t>E. 5.1.2</w:t>
      </w:r>
    </w:p>
    <w:p>
      <w:r>
        <w:t>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 ATF 128 IV 265 consid. 1.1.2 et 1.1.3 p. 268 s. et les références citées). Il n'y a pas non plus de création d'un titre faux si l'auteur signe de son nom d'artiste, de son pseudonyme ou de son nom d'emprunt, qu'il est connu ou se fait connaître sous ce nom et qu'il ne résulte aucune tromperie sur l'identité du signataire (M. BOOG, Basler Kommentar, Strafgesetzbuch II, n. 11 ad art. 251 CP ; G. STRATENWERTH, Schweizerisches Strafrecht, BT II, § 36 n. 10; B. CORBOZ, Les infractions en droit suisse, vol. II, n. 62 ad. art. 251 CP ; A. DONATSCH/ W. WOHLERS, Strafrecht IV, Delikte gegen die Allgemeinheit, 3 e éd., p. 146; G. GRIBBOHM, op. cit., § 267 n. 172). BGE 132 IV 57 S. 61 Certains auteurs nient encore qu'il puisse y avoir un faux dans les titres lorsqu'une des parties n'est pas intéressée par le nom donné par son cocontractant, mais veut uniquement conclure avec son vis-à-vis, comme par exemple l'hôtelier avec ses hôtes; dans ces cas, le nom est sans importance pour l'identité de l'auteur (G. STRATENWERTH, op. cit., § 36 n. 10; cf. G. GRIBBOHM, op. cit., § 267 n. 163 et K. KÜHL, in K. Lackner/K. Kühl, Strafgesetzbuch mit Erläuterungen, 24 e éd., § 267 n. 18). D'autres admettent en revanche que ces cas constituent également des faux dans les titres (M. BOOG, op. cit., n. 12 ad art. 251 CP ; cf. P. CRAMER, in A. Schönke/H. Schröder, Strafgesetzbuch, Kommentar, 26 e éd., § 267 n. 48).</w:t>
      </w:r>
    </w:p>
    <w:p>
      <w:r>
        <w:rPr>
          <w:b/>
        </w:rPr>
        <w:t>E. 5.1.3</w:t>
      </w:r>
    </w:p>
    <w:p>
      <w:r>
        <w:t>Dans un arrêt non publié, le Tribunal fédéral a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par conséquent admis qu'il y a faux dès qu'il y a tromperie sur le nom et que l'ignorance de l'identité véritable de l'auteur du titre empêche le cocontractant de faire valoir ses droits (arrêt du Tribunal fédéral 6S.193/1988 du 16 juin 1988 cité et approuvé par: M. BOOG, op. cit., n. 12 ad art. 251 CP ; cf. P. CRAMER, in A. Schönke/H. Schröder, op. cit., § 267 n. 48). En revanche, il est vrai que les cas où l'identité de l'auteur du titre n'a absolument aucune importance pour les parties ne sauraient tomber sous le coup de la loi pénale. Dans un ATF 106 IV 372 , le Tribunal fédéral a admis que l'inculpé qui se présentait et signait un procès-verbal d'audition du nom d'un tiers ne commettait pas un faux dans les titres, relevant qu'un tel document n'émanait pas de la personne interrogée mais du fonctionnaire qui tenait le procès-verbal et que le prévenu n'avait pas trompé, ni voulu tromper autrui sur la réalité de son interrogatoire. Comme l'a précisé l'autorité de céans dans son arrêt du 16 juin 1988 (cf. ci-dessus), ce cas se distingue cependant de la signature de titres où la véritable identité de leur auteur a une portée plus large, en particulier pour les intérêts des autres parties en cause.</w:t>
      </w:r>
    </w:p>
    <w:p>
      <w:r>
        <w:rPr>
          <w:b/>
        </w:rPr>
        <w:t>E. 5.2</w:t>
      </w:r>
    </w:p>
    <w:p>
      <w:r>
        <w:t>Selon les constatations cantonales, la recourante a signé d'un faux nom deux "attestations" dans lesquelles elle reconnaissait devoir effectuer des travaux pour des montants précis chez l'intimée. Ce faisant, elle a trompé cette dernière sur l'identité de la personne BGE 132 IV 57 S. 62 qui s'obligeait, l'empêchant pratiquement de faire valoir ses droits dans d'éventuelles poursuites ou procédures civiles. Le fait qu'elle se soit toujours présentée sous le même nom fictif auprès de la partie adverse et ce durant environ une année est sans importance. Du reste, la situation est comparable à celle décrite dans l'arrêt du 16 juin 1988 et il n'existe aucun motif de s'en écarter (cf. supra, consid. 5.1.3). En effet, dans ce dernier cas, le Tribunal fédéral avait admis que l'auteur avait créé de faux matériels en apposant un faux nom sur des chèques, un ordre de virement bancaire et des quittances. Partant, la recourante a bien créé de faux documents, l'auteur réel ne coïncidant pas avec l'auteur apparent. Ces "attestations" ont été établies sous forme d'écrits. Comme il s'agit de la création de faux documents, la conception restrictive de la jurisprudence en matière de faux intellectuel ne s'applique pas et il convient uniquement d'examiner si ces lettres sont destinées et propres à prouver un fait ayant une portée juridique. Les documents litigieux, établis sur papier à l'en-tête de Z., mentionnent que celle-ci s'engage à effectuer des travaux pour le compte de l'intimée pour un montant de 25'000 francs, puis de 20'000 francs. Il s'agit bien de titres, ces attestations étant destinées et propres à prouver l'existence d'un engagement de la part de Z. envers l'intimée. D'un point de vue subjectif, il ressort des circonstances et des faits décrits que la recourante a agi intentionnellement et dans le dessein de porter atteinte aux intérêts pécuniaires de l'intimée.</w:t>
      </w:r>
    </w:p>
    <w:p>
      <w:r>
        <w:rPr>
          <w:b/>
        </w:rPr>
        <w:t>E. 5.2.1</w:t>
      </w:r>
    </w:p>
    <w:p>
      <w:r>
        <w:t>Sur le vu de ce qui précède, la condamnation de la recourante pour faux dans les titres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