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103</w:t>
      </w:r>
    </w:p>
    <w:p>
      <w:r>
        <w:t>Bundesgericht (BGE), 2005-01-01, FR</w:t>
      </w:r>
    </w:p>
    <w:p>
      <w:r>
        <w:rPr>
          <w:b/>
        </w:rPr>
        <w:t xml:space="preserve">Quelle: </w:t>
      </w:r>
      <w:r>
        <w:t>https://mcp.opencaselaw.ch/entscheid/bge_BGE_132_II_103</w:t>
      </w:r>
    </w:p>
    <w:p>
      <w:r>
        <w:t>FR: ATF 132 II 103</w:t>
      </w:r>
    </w:p>
    <w:p>
      <w:r>
        <w:t>IT: DTF 132 II 103</w:t>
      </w:r>
    </w:p>
    <w:p>
      <w:pPr>
        <w:pStyle w:val="Heading2"/>
      </w:pPr>
      <w:r>
        <w:t>Regeste</w:t>
      </w:r>
    </w:p>
    <w:p>
      <w:r>
        <w:t>Regeste Art. 14 Abs. 3, 24 und 25 GwG; Kontrolle über die Anwälte und Notare im System des Geldwäschereigesetzes; Tragweite des Berufsgeheimnisses. Das Berufsgeheimnis von Anwälten und Notaren deckt grundsätzlich nur deren berufsspezifischen, nicht auch ihre allgemeinen wirtschaftlichen (akzessorischen) Aktivitäten ab (E. 2.1); diese fallen unter die Meldepflicht gemäss Art. 9 GwG (E. 2.2). Die Selbstregulierungsorganisation der Anwälte und Notare ist gehalten, alle ihr angeschlossenen Mitglieder zu kontrollieren, d.h. auch jene - wenig zahlreichen (E. 3) -, die erklären, nicht als Finanzintermediäre aktiv zu werden und keine geldwäschereirechtlich relevanten Tätigkeiten zu entfalten (E. 4).</w:t>
      </w:r>
    </w:p>
    <w:p>
      <w:r>
        <w:t>Regeste Art. 14 al. 3, 24 et 25 LBA; contrôle des avocats et des notaires dans le cadre de la loi sur le blanchiment d'argent et portée du secret professionnel. En principe, le secret professionnel des avocats et des notaires ne couvre que les faits propres à leur activité spécifique, à l'exception de ceux ayant trait à leur activité commerciale (consid. 2.1) qui tombent sous le coup de l'obligation de communiquer prévue à l'art. 9 LBA (consid. 2.2). Obligation pour l'Organisme d'autorégulation des avocats et des notaires de contrôler tous ses membres, y compris ceux, peu nombreux (consid. 3), qui déclarent ne pas agir en qualité d'intermédiaires financiers et ne traiter aucun dossier relevant de la loi sur le blanchiment d'argent (consid. 4).</w:t>
      </w:r>
    </w:p>
    <w:p>
      <w:r>
        <w:t>Regesto Art. 14 cpv. 3, 24 e 25 LRD; controllo degli avvocati e dei notai nel contesto della legge sul riciclaggio di denaro e portata del segreto professionale. Di principio, il segreto professionale degli avvocati e dei notai si estende solo ai fatti connessi alla loro attività specifica, ad eccezione di quelli relativi alla loro attività commerciale (consid. 2.1) che soggiacciono all'obbligo di comunicazione previsto all'art. 9 LRD (consid. 2.2). Obbligo per l'Organismo di autodisciplina degli avvocati e dei notai di controllare tutti i suoi membri, compresi quelli, poco numerosi (consid. 3), che dichiarano di non agire in qualità di intermediari finanziari e di non trattare alcun incarto rilevante dal profilo della legge sul riciclaggio di denaro (consid. 4).</w:t>
      </w:r>
    </w:p>
    <w:p>
      <w:pPr>
        <w:pStyle w:val="Heading2"/>
      </w:pPr>
      <w:r>
        <w:t>Erwägungen</w:t>
      </w:r>
    </w:p>
    <w:p>
      <w:r>
        <w:rPr>
          <w:b/>
        </w:rPr>
        <w:t>E. 2.1</w:t>
      </w:r>
    </w:p>
    <w:p>
      <w:r>
        <w:t>D'une manière générale, le secret professionnel des avocats et des notaires ne couvre que leur activité professionnelle spécifique et ne s'étend pas à une activité commerciale sortant de ce cadre (cf. ATF 120 Ib 112 consid. 4 p. 118 s.; ATF 117 Ia 341 consid. 6a/cc p. 349 s.; ATF 115 Ia 197 consid. 3d/aa p. 199; ATF 114 III 105 consid. 3a p. 107; ATF 112 Ib 606 ). Dans la jurisprudence, cette activité commerciale est parfois qualifiée d'activité accessoire, terme qui peut prêter à confusion dans la mesure où un avocat ou un notaire peut très bien consacrer une grande partie de son temps à des prestations non spécifiques à sa profession.</w:t>
      </w:r>
    </w:p>
    <w:p>
      <w:r>
        <w:rPr>
          <w:b/>
        </w:rPr>
        <w:t>E. 2.2</w:t>
      </w:r>
    </w:p>
    <w:p>
      <w:r>
        <w:t>Lors de l'élaboration de la loi sur le blanchiment d'argent, la situation des avocats et des notaires en relation avec la sauvegarde du secret professionnel a donné lieu à des discussions. Afin de tenir compte de l'importance de cette question, la loi finalement adoptée a prévu le système suivant. Aux termes de l' art. 9 al. 2 LBA , "les avocats et les notaires ne sont pas soumis à l'obligation de communiquer leurs soupçons dans la mesure où ils sont astreints au secret professionnel en vertu de BGE 132 II 103 S. 106 l'art. 321 du Code pénal" (voir à ce sujet le Message du Conseil fédéral du 17 juin 1996 relatif à la loi fédérale concernant la lutte contre le blanchissage d'argent dans le secteur financier [ci-après: le Message], in: FF 1996 III 1057 ss, p. 1087 ss; CHRISTOPH GRABER, GwG: Gesetzesausgabe mit englischer Übersetzung, Ausführungserlassen und Anmerkungen, Zurich 2003, 2 e éd., n. 6 ad art. 9 LBA ). En revanche, l'activité d'intermédiaire financier exercée par un avocat ou un notaire n'échappe pas à l'obligation de communiquer de l' art. 9 al. 1 LBA , s'agissant du reste de faits qui ne sont pas couverts par le secret professionnel des art. 321 CP et 13 de la loi fédérale du 23 juin 2000 sur la libre circulation des avocats (loi sur les avocats, LLCA; RS 935.61). Cependant, il n'est pas toujours facile de distinguer entre des faits protégés par le secret professionnel et les dossiers soumis à l'obligation de communiquer (cf. Message, op. cit., p. 1088, 1093 ss et 1098; GRABER, op. cit., n. 6 ad art. 18 LBA ; WERNER DE CAPITANI, Bundesgesetz zur Bekämpfung der Geldwäscherei im Finanzsektor [Geldwäschereigesetz, GwG] vom 10. Oktober 1997, in Kommentar Einziehung, organisiertes Verbrechen und Geldwäscherei, vol. II, éd. par Niklaus Schmid, Zurich 2002, n. 19 ad art. 14 LBA ). L'examen de cette question nécessite une connaissance des dossiers traités, soit, le cas échéant, de faits couverts par le secret professionnel. Il existe donc un conflit d'intérêts entre la nécessité, d'une part, de surveiller l'activité commerciale de l'avocat et du notaire et, d'autre part, de sauvegarder leur secret professionnel dont la portée a été rappelée plus haut. Pour trouver un équilibre entre ces deux objectifs, le législateur a prévu que les avocats et les notaires agissant en qualité d'intermédiaires financiers ont l'obligation de s'affilier à un organisme d'autorégulation (cf. art. 14 al. 3 LBA ). Autrement dit, ils n'ont pas la faculté découlant des art. 14 al. 1 et 13 let. b LBA de demander directement à l'Autorité de contrôle l'autorisation d'exercer cette activité. De plus, l' art. 18 al. 3 LBA dispose: "En ce qui concerne les organismes d'autorégulation des avocats et des notaires, elle (l'Autorité de contrôle) doit confier les contrôles à un organe de révision. Ce dernier est soumis au secret professionnel comme les avocats et les notaires." A ce sujet, le Message (op. cit., p. 1098) précise: "Cet organe de révision doit ensuite fournir à l'autorité précitée un rapport sous une forme suffisamment anonyme pour qu'aucune information couverte par le secret professionnel ne soit divulguée." BGE 132 II 103 S. 107</w:t>
      </w:r>
    </w:p>
    <w:p>
      <w:r>
        <w:rPr>
          <w:b/>
        </w:rPr>
        <w:t>E. 2.3</w:t>
      </w:r>
    </w:p>
    <w:p>
      <w:r>
        <w:t>Le système mis en place évite dès lors que l'Autorité de contrôle ait accès aux dossiers des avocats et des notaires, soit par un contrôle direct de ceux qui lui auraient demandé à être autorisés selon les art. 13 al. 1 let. b et 14 al. 1 LBA, soit, indirectement, par un contrôle de l'organisme d'autorégulation qu'elle effectuerait elle-même ou qu'elle confierait à un organe de révision non spécifique selon l' art. 18 al. 2 LBA (sur l'ensemble de la problématique, cf. Message, op. cit., p. 1088 s., 1093 ss, 1098; GRABER, op. cit., n. 6 ad art. 14 et n. 6 ad art. 18 LBA ; DE CAPITANI, op. cit., n. 19 ad art. 14 et n. 19 ad art. 18 LBA ).</w:t>
      </w:r>
    </w:p>
    <w:p>
      <w:r>
        <w:rPr>
          <w:b/>
        </w:rPr>
        <w:t>E. 3</w:t>
      </w:r>
    </w:p>
    <w:p>
      <w:r>
        <w:t>La quasi totalité des avocats et des notaires affiliés à l'OAR FSA/FSN exercent une activité d'intermédiaire financier qui est contrôlée selon les modalités indiquées ci-dessus. En particulier, l'organisme d'autorégulation doit vérifier que les avocats et notaires séparent correctement leur activité spécifique de leur activité commerciale (cf. Message, op. cit., p. 1098; GRABER, op. cit., n. 6 ad art. 18 LBA ; DE CAPITANI, op. cit., n. 19 ad art. 14 LBA ). En revanche, il convient de se demander quelle est la portée du contrôle que l'OAR FSA/FSN doit effectuer auprès des avocats et des notaires qui lui sont affiliés, mais qui déclarent et certifient par écrit ne pas exercer d'activité d'intermédiaire financier.</w:t>
      </w:r>
    </w:p>
    <w:p>
      <w:r>
        <w:rPr>
          <w:b/>
        </w:rPr>
        <w:t>E. 4.1</w:t>
      </w:r>
    </w:p>
    <w:p>
      <w:r>
        <w:t>De prime abord, on ne voit pas à quel besoin répond l'affiliation à un organisme d'autorégulation lorsque l'avocat ou le notaire intéressé n'exerce pas d'activité en qualité d'intermédiaire financier. Les recourants indiquent que l'affilié peut ainsi exercer immédiatement une telle activité s'il se décide à le faire. Ils ne citent toutefois pas d'exemple concret et il semble plutôt qu'un certain nombre d'avocats et de notaires entendent conserver durablement un statut en quelque sorte de "membre passif". Les recourants allèguent encore le désir des personnes concernées d'être mieux renseignées sur les obligations d'un intermédiaire financier; il devrait toutefois être possible de satisfaire ce besoin sans qu'une affiliation soit indispensable. De toute façon, le statut d'affilié n'exerçant pas une activité d'intermédiaire financier ne répond pas à un besoin particulièrement prononcé, puisqu'il ne concerne qu'une dizaine de personnes sur plus de mille affiliés.</w:t>
      </w:r>
    </w:p>
    <w:p>
      <w:r>
        <w:rPr>
          <w:b/>
        </w:rPr>
        <w:t>E. 4.2</w:t>
      </w:r>
    </w:p>
    <w:p>
      <w:r>
        <w:t>Quoi qu'il en soit, il convient avant toute chose de définir la portée et les effets d'une affiliation. BGE 132 II 103 S. 108 L'intermédiaire financier dispose de deux voies pour être autorisé à exercer son activité. S'il n'entend pas s'affilier à un organisme d'autorégulation et s'il n'est pas avocat ou notaire, il peut demander directement à l'Autorité de contrôle l'autorisation d'exercer son activité (cf. art. 14 al. 1 et 3 LBA ); les conditions de l'autorisation sont régies par l' art. 14 al. 2 LBA . En revanche, s'il est avocat ou notaire, la seule possibilité d'exercer comme intermédiaire financier réside dans l'affiliation à un organisme d'autorégulation (cf. art. 13 al. 1 let. a et 14 al. 3 LBA). Cette affiliation vaut autorisation et elle n'est agréée par l'organisme d'autorégulation que si l'intéressé remplit les conditions fixées par le règlement établi par l'organisme en cause et approuvé par l'Autorité de contrôle (cf. art. 24 et 25 LBA ). En effet, l'exercice d'une activité d'intermédiaire financier sans autorisation de l'Autorité de contrôle ou affiliation à un organisme d'autorégulation est une infraction pénalement punissable selon l' art. 36 LBA . Autrement dit, seul l'avocat ou le notaire affilié à l'OAR FSA/FSN peut exercer l'activité d'intermédiaire financier sans encourir les sanctions de l' art. 36 LBA . Etant soumis au contrôle d'un organisme d'autorégulation, il bénéficie dans une certaine mesure d'une présomption de conformité aux obligations découlant de la loi sur le blanchiment d'argent. Pour reprendre l'image utilisée plus haut, on ne peut pas vraiment parler de "membre passif" pour qualifier le statut de l'avocat ou du notaire affilié qui déclare ne pas exercer d'activité d'intermédiaire financier. Il doit bien plutôt être considéré comme un intermédiaire financier à part entière, en ce sens qu'il est autorisé à avoir une telle activité.</w:t>
      </w:r>
    </w:p>
    <w:p>
      <w:r>
        <w:rPr>
          <w:b/>
        </w:rPr>
        <w:t>E. 4.3</w:t>
      </w:r>
    </w:p>
    <w:p>
      <w:r>
        <w:t>En ce qui concerne plus spécialement le contrôle des affiliés par un organisme d'autorégulation, il y a lieu de constater que l' art. 24 al. 1 let. b LBA impose une obligation de contrôle, sans faire de distinction entre différentes catégories d'affiliés. L'organisme d'autorégulation doit veiller à ce que les affiliés respectent les obligations découlant de la loi sur le blanchiment d'argent. On ne voit également aucune différenciation entre différents types d'affiliés dans les statuts et le règlement de l'OAR FSA/FSN. Pour tous ses affiliés, l'OAR FSA/FSN doit dès lors veiller à ce que les dossiers concernant une activité commerciale soient correctement délimités de ceux relatifs à l'activité spécifique d'avocat ou de notaire. C'est du reste ce qu'énonce en ces termes le "Concept relatif aux contrôles" de l'OAR FSA/FSN: BGE 132 II 103 S. 109 "Le contrôle doit en particulier permettre de s'assurer que l'avocat ou le notaire affilié sépare correctement les 'dossiers LBA' de ses autres activités non soumises à la LBA, et que tous les 'dossiers LBA' puissent effectivement être contrôlés." Sans qu'il soit nécessaire de s'arrêter ici sur la portée exacte de ce document, force est de constater qu'il concrétise correctement l'étendue de l'obligation de contrôle de l'OAR FSA/FSN. Pour les affiliés déclarant ne pas exercer d'activité d'intermédiaire financier, l'OAR FSA/FSN doit dès lors contrôler que l'avocat ou le notaire concerné procède correctement à cette délimitation et qu'il ne gère pas de "dossiers LBA", pour reprendre la terminologie du "Concept relatif aux contrôles". A cet égard, une simple déclaration de l'intéressé n'est pas suffisante, puisqu'elle ne constitue pas un contrôle de l'OAR FSA/FSN, mais tend au contraire à exclure un tel contrôle. Il ne s'agit du reste pas de mettre en doute par principe les déclarations d'un avocat ou d'un notaire mais d'exercer le contrôle prévu par la loi sur une personne autorisée à exercer l'activité d'intermédiaire financier. Sinon, pour les affiliés déclarant exercer une activité d'intermédiaire financier, l'OAR FSA/FSN pourrait tout aussi bien se contenter de déclarations de respect des obligations découlant de la loi sur le blanchiment d'argent. Ce contrôle de l'OAR FSA/FSN s'avère dès lors nécessaire pour une mise en oeuvre efficace de cette loi et ne porte pas une atteinte disproportionnée au secret professionnel, compte tenu des mesures prises pour éviter que l'Autorité de contrôle ait un accès direct à des dossier couverts par ce secret (cf., dans une constellation quelque peu différente, l'arrêt 8G.9/2004 du 23 mars 2004, spéc. consid. 9.2).</w:t>
      </w:r>
    </w:p>
    <w:p>
      <w:r>
        <w:rPr>
          <w:b/>
        </w:rPr>
        <w:t>E. 4.4</w:t>
      </w:r>
    </w:p>
    <w:p>
      <w:r>
        <w:t>Les objections que les recourants émettent à l'encontre de la décision attaquée ne convainquent pas.</w:t>
      </w:r>
    </w:p>
    <w:p>
      <w:r>
        <w:rPr>
          <w:b/>
        </w:rPr>
        <w:t>E. 4.4.1</w:t>
      </w:r>
    </w:p>
    <w:p>
      <w:r>
        <w:t>Certes, les personnes oeuvrant pour le compte de l'OAR FSA/ FSN ou de son organe de révision sont susceptibles, lors d'un contrôle, d'avoir connaissance d'éléments couverts par le secret professionnel; une telle circonstance est toutefois sans conséquence pour l'avocat ou le notaire concerné, vu l' art. 321 ch. 3 CP qui, s'agissant de l'infraction de violation du secret professionnel, réserve notamment les dispositions de la législation fédérale imposant l'obligation de renseigner une autorité. Or, investis d'une tâche de droit public, l'OAR FSA/FSN et son organe de révision doivent être considérés comme des autorités au sens de la disposition pénale précitée. Quant à l'obligation de renseigner, elle découle déjà et de BGE 132 II 103 S. 110 manière suffisamment précise du contrôle imposé par l' art. 24 al. 1 let. b LBA : la vérification du respect des obligations définies au chapitre 2 LBA implique en effet que les affiliés donnent les renseignements voulus sur la manière dont ils séparent les dossiers relatifs respectivement à leur activité spécifique ou à leur activité commerciale et permettent les vérifications qui sont à cet égard nécessaires.</w:t>
      </w:r>
    </w:p>
    <w:p>
      <w:r>
        <w:rPr>
          <w:b/>
        </w:rPr>
        <w:t>E. 4.4.2</w:t>
      </w:r>
    </w:p>
    <w:p>
      <w:r>
        <w:t>Les recourants se plaignent d'une inégalité de traitement entre les avocats et les notaires n'exerçant pas d'activité d'intermédiaires financiers, soit entre ceux qui, ayant choisi d'être affiliés à l'organisme d'autorégulation, doivent subir un contrôle même s'ils déclarent ne pas pratiquer une telle activité et ceux qui, ayant choisi de ne pas être affiliés, n'ont pas à subir de contrôle. L'argument tombe à faux, car il existe une différence déterminante entre les deux catégories. Les avocats et les notaires affiliés sont autorisés à agir comme intermédiaires financiers et échappent aux sanctions de l' art. 36 LBA . Cette affiliation justifie dès lors qu'ils soient contrôlés par l'organisme d'autorégulation, alors que leurs confrères non affiliés ne sont pas autorisés et peuvent être poursuivis selon l' art. 36 LBA s'ils enfreignent cette disposition. Les recourants font cependant valoir que les avocats et les notaires non affiliés décident eux-mêmes si leur activité est, ou non, soumise à la loi sur le blanchiment d'argent (cf. GRABER, op. cit., n. 6 ad art. 14 LBA ; DE CAPITANI, op. cit., n. 78 ad art. 9 LBA ). Il est vrai que, comme toute autre personne du reste, les avocats et notaires non affiliés doivent se demander si l'une ou l'autre de leur activité tombe sous le coup de l' art. 2 LBA . Ils ne décident cependant pas librement si tel est le cas mais doivent respecter la loi sur le blanchiment d'argent, à peine d'encourir les sanctions de l' art. 36 LBA . Et, à partir du moment où ils choisissent de s'affilier, soit d'être autorisés à exercer comme intermédiaires financiers, leur statut change et ils ne peuvent prétendre définir eux-mêmes les limites de leur activité à l'abri de tout contrôle effectif de l'organisme d'autorégulation. La limitation et le contrôle qui leur sont alors imposés sont d'autant plus admissibles qu'il ne tient qu'à eux de ne pas s'affilier, n'en ayant précisément pas l'obligation lorsqu'ils estiment ne pas agir en qualité d'intermédiaires financiers.</w:t>
      </w:r>
    </w:p>
    <w:p>
      <w:r>
        <w:rPr>
          <w:b/>
        </w:rPr>
        <w:t>E. 4.4.3</w:t>
      </w:r>
    </w:p>
    <w:p>
      <w:r>
        <w:t>Enfin, la référence aux recommandations du Groupe d'action financière sur la lutte contre le blanchiment de capitaux "Gafi" et aux recommandations du Conseil de l'Europe n'est pas BGE 132 II 103 S. 111 déterminante. Ces textes ont été émis partiellement dans un autre contexte (cf. DIDIER DE MONTMOLLIN, Prévention du blanchiment: quelles perspectives pour l'avocat dans le contexte suisse et international?, in Revue de l'avocat 8/2002 p. 21 ss, 22). Dans la mesure où il s'agit de préserver le secret professionnel, on a vu plus haut que celui-ci est entièrement sauvegardé lorsque l'avocat ou le notaire se concentre sur son activité spécifique tandis que, lorsque l'intéressé étend son champ d'action à l'activité d'intermédiaire financier, le système mis en place concilie autant que faire se peut cette exigence avec l'intérêt public à une mise en oeuvre efficace de la loi sur le blanchiment d'argent.</w:t>
      </w:r>
    </w:p>
    <w:p>
      <w:r>
        <w:rPr>
          <w:b/>
        </w:rPr>
        <w:t>E. 4.4.4</w:t>
      </w:r>
    </w:p>
    <w:p>
      <w:r>
        <w:t>Les considérations qui précèdent s'appliquent également aux griefs tirés de la violation respectivement de la protection du domicile professionnel et du secret de la correspondance.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