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532</w:t>
      </w:r>
    </w:p>
    <w:p>
      <w:r>
        <w:t>Bundesgericht (BGE), 2006-01-01, IT</w:t>
      </w:r>
    </w:p>
    <w:p>
      <w:r>
        <w:rPr>
          <w:b/>
        </w:rPr>
        <w:t xml:space="preserve">Quelle: </w:t>
      </w:r>
      <w:r>
        <w:t>https://mcp.opencaselaw.ch/entscheid/bge_BGE_132_III_532</w:t>
      </w:r>
    </w:p>
    <w:p>
      <w:r>
        <w:t>FR: ATF 132 III 532</w:t>
      </w:r>
    </w:p>
    <w:p>
      <w:r>
        <w:t>IT: DTF 132 III 532</w:t>
      </w:r>
    </w:p>
    <w:p>
      <w:pPr>
        <w:pStyle w:val="Heading2"/>
      </w:pPr>
      <w:r>
        <w:t>Regeste</w:t>
      </w:r>
    </w:p>
    <w:p>
      <w:r>
        <w:t>Regeste Art. 8 SBG, Art. 944 ff. OR; Firma einer Aktiengesellschaft, die eine Spielbank betreibt. Nur Aktiengesellschaften, die im Besitz einer Konzession des Typs A sind, dürfen den Ausdruck Grand Casino in ihre Geschäftsfirma aufnehmen (E. 3). Seine Verwendung seitens einer Aktiengesellschaft, die Inhaberin einer Konzession des Typs B ist, verletzt die Regeln über die Bildung von Geschäftsfirmen (E. 4). Möglichkeiten, die einer Aktiengesellschaft, die in der Schweiz eine Spielbank betreibt, bei der Wahl ihrer Geschäftsfirma offen stehen (E. 5).</w:t>
      </w:r>
    </w:p>
    <w:p>
      <w:r>
        <w:t>Regeste Art. 8 LMJ, art. 944 ss CO; raison sociale d'une société anonyme exploitant une maison de jeu. Seules les sociétés anonymes au bénéfice d'une concession A peuvent insérer l'expression grand casino dans leur raison sociale (consid. 3). Son utilisation par une société anonyme au bénéfice d'une concession B viole les règles sur la formation des raisons de commerce (consid. 4). Possibilités offertes à une société anonyme exploitant une maison de jeu en Suisse dans le choix de sa raison sociale (consid. 5).</w:t>
      </w:r>
    </w:p>
    <w:p>
      <w:r>
        <w:t>Regesto Art. 8 LCG, art. 944 segg. CO; ragione sociale di una società anonima che gestisce una casa da gioco. Solo le società anonime in possesso di una concessione di tipo A possono includere nella loro ragione sociale l'espressione Grand casinò (consid. 3). Il suo utilizzo da parte di una società anonima titolare di una concessione di tipo B viola le regole che disciplinano la formazione delle ditte commerciali (consid. 4). Possibilità che si offrono ad una società anonima che gestisce una casa da gioco in Svizzera quo alla scelta della ragione sociale (consid. 5).</w:t>
      </w:r>
    </w:p>
    <w:p>
      <w:pPr>
        <w:pStyle w:val="Heading2"/>
      </w:pPr>
      <w:r>
        <w:t>Erwägungen</w:t>
      </w:r>
    </w:p>
    <w:p>
      <w:r>
        <w:rPr>
          <w:b/>
        </w:rPr>
        <w:t>E. 3</w:t>
      </w:r>
    </w:p>
    <w:p>
      <w:r>
        <w:t>Dinanzi al Tribunale federale il ricorrente ribadisce la tesi secondo cui l'opponente non potrebbe avvalersi della ragione sociale contenente Grand Casinò già per il fatto che questa espressione è destinata, per legge, esclusivamente alle società in possesso di una concessione di tipo A. Decidendo in senso contrario la Corte cantonale avrebbe violato l' art. 8 LCG , che contiene una categorizzazione e rappresenta quindi una forma di definizione legale dei BGE 132 III 532 S. 535 concetti Gran casinò e Kursaal , riservati appunto, il primo, ai titolari di una concessione di tipo A, e, il secondo, a quelli di una concessione di tipo B.</w:t>
      </w:r>
    </w:p>
    <w:p>
      <w:r>
        <w:rPr>
          <w:b/>
        </w:rPr>
        <w:t>E. 3.1</w:t>
      </w:r>
    </w:p>
    <w:p>
      <w:r>
        <w:t>L' art. 8 LCG recita: Art. 8 LCG - Categorie 1 I gran casinò (Grand Casinos, grands casinos) offrono giochi da tavolo e apparecchi automatici per i giochi d'azzardo. Possono collegare in rete i giochi nella casa da gioco stessa, nonché con altre case da gioco, in particolare per la costituzione di jackpot (concessione A). 2 I kursaal (Kursäle, casinos) possono, per quanto adempiano le altre condizioni previste dalla presente legge (art. 10 segg.), offrire al massimo tre giochi da tavolo nonché apparecchi automatici per i giochi d'azzardo con un minor potenziale di vincita e di perdita (concessione B). [...]</w:t>
      </w:r>
    </w:p>
    <w:p>
      <w:r>
        <w:rPr>
          <w:b/>
        </w:rPr>
        <w:t>E. 3.2</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 DTF 132 III 226 consid. 3.3.5 pag. 237 con rinvii). Il Tribunale federale non privilegia, di principio, un metodo di interpretazione in particolare; per accedere al vero senso di una norma preferisce piuttosto ispirarsi a un pluralismo interpretativo. Si fonda sulla mera comprensione letterale del testo unicamente se la soluzione così ottenuta non presenta ambiguità e appare materialmente corretta (DTF citato). Tale è il caso in esame.</w:t>
      </w:r>
    </w:p>
    <w:p>
      <w:r>
        <w:rPr>
          <w:b/>
        </w:rPr>
        <w:t>E. 3.2.1</w:t>
      </w:r>
    </w:p>
    <w:p>
      <w:r>
        <w:t>Infatti, il tenore dell' art. 8 LCG - e in particolare quello del primo capoverso, oggetto dell'attuale vertenza - non solo è formulato in modo chiaro e scevro di ogni ambiguità, ma è anche il frutto di una scelta consapevole del legislatore. Come pertinentemente rilevato dal ricorrente, l'introduzione dell'indicazione Gran casinò nel testo dell' art. 8 LCG corrisponde infatti a una precisa volontà delle Commissioni giuridiche del Consiglio BGE 132 III 532 S. 536 degli Stati e del Consiglio nazionale, le quali hanno chiesto e ottenuto la modifica del testo proposto dal Consiglio federale nel disegno di legge - presentato con il messaggio concernente la legge federale sul gioco d'azzardo e sulle case da gioco del 26 febbraio 1997 - che conteneva semplicemente la differenziazione fra "case da gioco della categoria A" e "case da gioco della categoria B" (FF 1997 III 129 segg., in particolare pag. 186). Il relatore di allora, Niklaus Küchler, giustificò la richiesta delle Commissioni con la necessità di rendere più immediata la distinzione fra i due tipi di case da gioco, precisando che tale scopo sarebbe stato raggiunto mediante l'utilizzo dell'espressione Grand Casino , la quale, oltre a permettere una comprensione più rapida del tipo di casa da gioco in questione, presentava il vantaggio di essere pressoché identica nelle varie lingue ufficiali e comprensibile a chiunque (BU 1997 CS pag. 1311 seg.). Considerato quanto appena esposto, non vi è nessun motivo per discostarsi dal testo - chiaro - della legge.</w:t>
      </w:r>
    </w:p>
    <w:p>
      <w:r>
        <w:rPr>
          <w:b/>
        </w:rPr>
        <w:t>E. 3.2.2</w:t>
      </w:r>
    </w:p>
    <w:p>
      <w:r>
        <w:t>Ciò significa che la denominazione Grand casinò - rispettivamente Gran casinò e Grand casino - è riservata alle società in possesso di una concessione di tipo A.</w:t>
      </w:r>
    </w:p>
    <w:p>
      <w:r>
        <w:rPr>
          <w:b/>
        </w:rPr>
        <w:t>E. 4</w:t>
      </w:r>
    </w:p>
    <w:p>
      <w:r>
        <w:t>Nella misura in cui si prevale della denominazione Grand casinò , riservata alle società titolari di una concessione di tipo A, l'opponente, che beneficia solo di una concessione di tipo B, ha dunque una ragione sociale lesiva delle regole che disciplinano la formazione delle ditte, sancite dall'art. 944 segg. CO.</w:t>
      </w:r>
    </w:p>
    <w:p>
      <w:r>
        <w:rPr>
          <w:b/>
        </w:rPr>
        <w:t>E. 4.1</w:t>
      </w:r>
    </w:p>
    <w:p>
      <w:r>
        <w:t>Giusta l' art. 950 cpv. 1 CO , le società anonime possono scegliere liberamente la loro ditta, purché siano osservate le norme generali che ne regolano la formazione. In linea di massima, ogni ditta può, accanto agli elementi essenziali determinati dalla legge, contenere una più precisa designazione delle persone in essa menzionate o richiami alla natura del negozio o un nome di fantasia, purché siffatte aggiunte siano conformi alla verità, non possano trarre in inganno e non ledano nessun interesse pubblico ( art. 944 cpv. 1 CO e art. 38 cpv. 1 ORC ). Il divieto d'inganno risulta in particolare violato qualora il pubblico medio venga indotto a trarre delle conclusioni errate circa la sede, la natura o il genere di attività dell'impresa ( DTF 123 III 220 consid. 4b pag. 226). Ciò accade quando la ditta contiene termini che si BGE 132 III 532 S. 537 riferiscono a un'attività, un prodotto o un servizio non menzionato nella descrizione dello scopo e del genere di attività, oppure nel caso in cui si riferisca soltanto a uno scopo accessorio, mascherando così l'attività principale ( DTF 117 II 192 consid. 4b/bb pag. 197 seg.). Poco importa l'esistenza di una volontà d'ingannare o la consapevolezza del rischio d'errore. Questo rischio non va esaminato in maniera astratta, bensì tenendo conto delle particolari circostanze del caso concreto (cfr. sentenza del 25 gennaio 2001 nella causa 4A.5/ 2000, pubblicata in: sic! 4/2001 pag. 327, consid. 4a; DTF 123 III 220 consid. 4b pag. 225 seg.; DTF 117 II 192 consid. 4b/bb pag. 197).</w:t>
      </w:r>
    </w:p>
    <w:p>
      <w:r>
        <w:rPr>
          <w:b/>
        </w:rPr>
        <w:t>E. 4.2</w:t>
      </w:r>
    </w:p>
    <w:p>
      <w:r>
        <w:t>Ora, il fatto che una società in possesso di una concessione di tipo B contenga nella propria ragione sociale l'indicazione Grand casino o Gran casinò risulta manifestamente in contrasto con i principi appena esposti e la conclusione in senso contrario della Corte cantonale - presentata in maniera dettagliata nella parte dedicata ai fatti - non può essere condivisa.</w:t>
      </w:r>
    </w:p>
    <w:p>
      <w:r>
        <w:rPr>
          <w:b/>
        </w:rPr>
        <w:t>E. 4.2.1</w:t>
      </w:r>
    </w:p>
    <w:p>
      <w:r>
        <w:t>Innanzitutto la ragione sociale dell'opponente non soddisfa il requisito della veridicità, poiché nonostante l'indicazione Grand Casinò essa non possiede una concessione di tipo A. Alla luce della portata della norma legale esposta al considerando precedente, non può essere seguita la tesi dei giudici ticinesi, secondo cui l'opponente potrebbe comunque utilizzare l'aggettivo Grand visto che la casa da gioco da lei gestita può oggettivamente essere considerata "grande" per cifra d'affari, numero di tavoli da gioco, dipendenti e clienti. Determinanti non sono le dimensioni dell'istituto bensì la maggiore offerta di giochi d'azzardo, con maggior potenziale di vincita (rispettivamente di perdita).</w:t>
      </w:r>
    </w:p>
    <w:p>
      <w:r>
        <w:rPr>
          <w:b/>
        </w:rPr>
        <w:t>E. 4.2.2</w:t>
      </w:r>
    </w:p>
    <w:p>
      <w:r>
        <w:t>La ragione sociale dell'opponente è pure suscettibile di trarre in inganno il pubblico medio, il quale, confrontato con una società che contiene nella sua ragione sociale l'indicazione Grand Casinò può legittimamente supporre che la casa da gioco da lei gestita sia al beneficio di una concessione di tipo A, così come indicato dalla legge. La Corte cantonale ha espresso un convincimento diverso, asseren do che per il pubblico medio la distinzione fra i due tipi di case da gioco sarebbe comunque irrilevante. Sennonché la sua considerazione si basa su di un'impressione - non suffragata da elementi concreti - e, in ogni caso, non tiene nella debita considerazione il fatto che, ai fini della valutazione della conformità della ragione BGE 132 III 532 S. 538 sociale dell'opponente ai principi che reggono la formazione delle ditte, non è decisiva la questione di sapere se il pubblico sia effettivamente tratto in inganno oppure no, basta che un simile rischio sussista (MARTINA ALTENPOHL, in: Basler Kommentar, n. 18 ad art. 944 CO ). Nella fattispecie in rassegna tale rischio è innegabile.</w:t>
      </w:r>
    </w:p>
    <w:p>
      <w:r>
        <w:rPr>
          <w:b/>
        </w:rPr>
        <w:t>E. 4.2.3</w:t>
      </w:r>
    </w:p>
    <w:p>
      <w:r>
        <w:t>La questione - sollevata dall'opponente - di sapere se l'utilizzo dell'espressione Grand Casinò da parte di una società che non gestisce una sala da gioco sia ammissibile oppure no non necessita di essere approfondita in questa sede, siccome esula dal tema della lite.</w:t>
      </w:r>
    </w:p>
    <w:p>
      <w:r>
        <w:rPr>
          <w:b/>
        </w:rPr>
        <w:t>E. 5</w:t>
      </w:r>
    </w:p>
    <w:p>
      <w:r>
        <w:t>Le possibilità che si offrono - quo alla scelta della ragione sociale - ad una società che gestisce una casa da gioco in Svizzera possono dunque essere riepilogate come segue. Essa può senz'altro prevalersi della designazione generale casa da gioco ( Spielbank , maison de jeu ) contenuta nell' art. 7 LCG ; se è in possesso di una concessione di tipo B può anche optare per Kursaal o casino ; infine, qualora benefici di una concessione di tipo A, può, se lo desidera, fregiarsi del titolo di Gran casinò o Grand casino . Queste regole sembrano essere già state recepite dalle altre diciotto società che gestiscono attualmente le case da gioco elvetiche (cfr. lista pubblicata sul sito della Commissione federale delle case da gioco, www.esbk.admin.ch). Tre delle sette società in possesso di una concessione A contengono infatti nella loro ragione sociale il termine Grand casino (Grand Casino Kursaal Berna AG, Grand Casino Luzern AG e Grand Casino St. Gallen AG), una include il termine Spielbank (Spielbank Baden AG), mentre tutte le altre, senza riguardo al tipo di concessione, contengono Casino , eccezion fatta per quella che gestisce la casa da gioco di Granges-Paccots.</w:t>
      </w:r>
    </w:p>
    <w:p>
      <w:r>
        <w:rPr>
          <w:b/>
        </w:rPr>
        <w:t>E. 6</w:t>
      </w:r>
    </w:p>
    <w:p>
      <w:r>
        <w:t>Da tutto quanto esposto si deve concludere che, riconoscendo al l'opponente il diritto di includere nella propria ragione sociale l'indicazione Grand Casinò , la Corte cantonale ha disatteso il diritto federale, così come asserito dal ricorrente nel suo gravame, che merita pertanto di essere accolto. Ciò significa che l'opponente, al beneficio di una concessione di tipo B, dovrà modificare la propria ragione sociale tenendo conto dei principi illustrati ai considerandi precedenti. La sentenza impugnata viene quindi annullata e all'opponente è fatto ordine di notificare il BGE 132 III 532 S. 539 cambiamento della ragione sociale all'Ufficio del registro di commercio del Distretto di Mendrisio entro il termine di 30 giorni dalla notifica della presente sentenza. Gli oneri processuali seguono la soccombenza ( art. 156 cpv. 1 OG ) e sono pertanto posti a carico dell'opponente, così come proposto dal ricorrente, il quale non ha invece chiesto l'assegnazione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