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122</w:t>
      </w:r>
    </w:p>
    <w:p>
      <w:r>
        <w:t>Bundesgericht (BGE), 2005-09-13, FR</w:t>
      </w:r>
    </w:p>
    <w:p>
      <w:r>
        <w:rPr>
          <w:b/>
        </w:rPr>
        <w:t xml:space="preserve">Quelle: </w:t>
      </w:r>
      <w:r>
        <w:t>https://mcp.opencaselaw.ch/entscheid/bge_BGE_132_III_122</w:t>
      </w:r>
    </w:p>
    <w:p>
      <w:r>
        <w:t>FR: ATF 132 III 122</w:t>
      </w:r>
    </w:p>
    <w:p>
      <w:r>
        <w:t>IT: DTF 132 III 122</w:t>
      </w:r>
    </w:p>
    <w:p>
      <w:pPr>
        <w:pStyle w:val="Heading2"/>
      </w:pPr>
      <w:r>
        <w:t>Regeste</w:t>
      </w:r>
    </w:p>
    <w:p>
      <w:r>
        <w:t>Regeste Rechtmässigkeit von im Arbeitskampf eingesetzten Mitteln (Art. 28 BV; Art. 41 und 357a OR). Kriterien für die Bestimmung, ob ein Mittel des Arbeitskampfes vorliegt (E. 4.3). Da Art. 28 BV betreffend die Koalitionsfreiheit indirekte Drittwirkung im Bereich der Arbeitsbeziehungen des privaten Sektors entfaltet, muss ein Gericht dieses Verfassungsrecht berücksichtigen, wenn es die Rechtmässigkeit eines im Arbeitskampf eingesetzten Mittels prüft. Damit ein Kampfmittel rechtmässig ist, muss es die Arbeitsbeziehungen betreffen, nicht gegen die relative Friedenspflicht verstossen, von einer Arbeitnehmervereinigung getragen werden und den Grundsatz der Verhältnismässigkeit respektieren (E. 4.4). Unter dem Gesichtspunkt dieses Grundsatzes ist es unverhältnismässig, Gewalt oder die Schädigung von Gütern des Unternehmens als Kampfmittel zu gebrauchen. Verhältnismässig ist dagegen das Aufstellen von Streikposten, soweit diese keine Gewalt anwenden (E. 4.5).</w:t>
      </w:r>
    </w:p>
    <w:p>
      <w:r>
        <w:t>Regeste Licéité des moyens de combat dans les conflits collectifs du travail (art. 28 Cst.; art. 41 et 357a CO). Critères pour qu'un moyen de combat relève du droit collectif du travail (consid. 4.3). Comme l'art. 28 Cst. relatif à la liberté syndicale déploie un effet horizontal indirect sur les relations de travail dans le secteur privé, le juge, qui est appelé à examiner la licéité d'un moyen de combat en droit collectif du travail, doit prendre en compte cette garantie constitutionnelle. Pour qu'un moyen de combat soit licite, il doit se rapporter aux relations de travail, être conforme à l'obligation de paix relative du travail, être appuyé par une organisation de travailleurs et respecter le principe de la proportionnalité (consid. 4.4). Sous l'angle de ce principe, s'il est disproportionné de mettre en oeuvre des moyens de combat faisant usage de la violence ou portant atteinte aux biens de l'entreprise, il est licite d'organiser des piquets de grève pour autant qu'ils n'usent pas de la force (consid. 4.5).</w:t>
      </w:r>
    </w:p>
    <w:p>
      <w:r>
        <w:t>Regesto Liceità dei mezzi di lotta nei conflitti collettivi di lavoro (art. 28 Cost.; art. 41 e 357a CO). Criteri per stabilire se si è in presenza di un mezzo di lotta collettivo (consid. 4.3). Dato che l'art. 28 Cost., concernente la libertà sindacale, ha un effetto orizzontale indiretto sulle relazioni di lavoro nel settore privato, il giudice chiamato ad esaminare la liceità di uno strumento di lotta nel diritto collettivo del lavoro deve tenere conto di questa garanzia costituzionale. Affinché una misura di lotta sia lecita, essa deve riferirsi ai rapporti di lavoro, ossequiare l'obbligo relativo di preservare la pace del lavoro, essere appoggiata da un'organizzazione di lavoratori e rispettare il principio della proporzionalità (consid. 4.4). Sotto il profilo di questo principio, se è sproporzionato adottare mezzi di lotta facendo uso della violenza o arrecando pregiudizio ai beni dell'impresa, è lecito organizzare un picchettaggio durante lo sciopero, purché non venga usata la forza (consid. 4.5).</w:t>
      </w:r>
    </w:p>
    <w:p>
      <w:pPr>
        <w:pStyle w:val="Heading2"/>
      </w:pPr>
      <w:r>
        <w:t>Erwägungen</w:t>
      </w:r>
    </w:p>
    <w:p>
      <w:r>
        <w:rPr>
          <w:b/>
        </w:rPr>
        <w:t>E. 4</w:t>
      </w:r>
    </w:p>
    <w:p>
      <w:r>
        <w:t>Dans leur second moyen, les recourants principaux critiquent l'application qui a été faite par la cour cantonale de l' art. 41 CO . Ils font valoir que l'action syndicale qu'ils ont menée le 18 mars 2001, laquelle avait consisté à bloquer momentanément l'accès de l'entreprise au personnel, était conforme au droit et ne constituait pas un acte illicite engageant leur responsabilité. Dès l'instant où la demanderesse avait remplacé le contrat collectif alors en vigueur dans l'entreprise par un contrat-cadre qui affaiblissait la position des travailleurs et qu'elle se refusait à reprendre le dialogue en vue de la négociation d'une nouvelle convention collective, les défendeurs soutiennent qu'ils étaient autorisés à recourir à un moyen de combat. A en croire les recourants principaux, les juges cantonaux auraient commis une double erreur d'appréciation et violé, outre la norme précitée, l' art. 356 CO . Ces magistrats auraient dû tenir compte de la situation qui a régné dans les mois précédant l'action litigieuse ainsi que de l'impasse dans laquelle se trouvaient les défendeurs. De plus, ils auraient dû constater que les manoeuvres de la demanderesse ont réellement abouti à l'affaiblissement du syndicat et des travailleurs de l'entreprise. Les défendeurs, exposant que l'arrêt BGE 132 III 122 S. 130 entrepris a cautionné le démantèlement social, insistent sur le fait qu'un contrat-cadre ne saurait remplacer valablement, en droit collectif suisse du travail, une convention collective. Ils allèguent encore que l'action du 18 mars 2001, dont les effets, en termes économiques, étaient moindres que ceux d'une grève, était proportionnée dans ses moyens, compte tenu du but visé. La manifestation serait licite au regard des principes posés par le Tribunal fédéral quant à l'exercice du droit de grève, si bien que la principale condition requise pour l'application de l' art. 41 CO ferait défaut. Sous cet angle, le fait que les défendeurs n'aient pas saisi l'office cantonal de conciliation avant de mener une action de combat serait privé de toute pertinence. In fine, les défendeurs soutiennent que les "menées" de la demanderesse ont porté atteinte à leur personnalité, les prévisions de l' art. 28 CC étant ainsi réunies.</w:t>
      </w:r>
    </w:p>
    <w:p>
      <w:r>
        <w:rPr>
          <w:b/>
        </w:rPr>
        <w:t>E. 4.1</w:t>
      </w:r>
    </w:p>
    <w:p>
      <w:r>
        <w:t>Il convient d'examiner si la Chambre des recours a jugé à bon droit que les défendeurs ont engagé leur responsabilité aquilienne en organisant, puis conduisant, par l'entremise des défendeurs n° 2, n° 4 et n° 5, l'action du 18 mars 2001. La responsabilité délictuelle instituée par l' art. 41 CO suppose que soient réalisées cumulativement les quatre conditions suivantes: un acte illicite, une faute de l'auteur, un dommage et un rapport de causalité (naturelle et adéquate) entre l'acte fautif et le dommage (cf. not. KARL OFTINGER/EMIL W. STARK, Schweizerisches Haftpflichtrecht, Allgemeiner Teil, vol. I, 5 e éd., n. 102 ss, p. 44/45). En l'espèce, les recourants principaux ne contestent plus avoir agi intentionnellement en étant conscients d'exercer une contrainte sur la demanderesse, ni que la manifestation du 18 mars 2001 est la cause naturelle et adéquate du préjudice calculé par la cour cantonale. Il reste donc à déterminer si l'action menée le jour en question était ou non illicite.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 ATF 129 IV 322 consid. 2.2.2; ATF 124 III 297 consid. 5b). BGE 132 III 122 S. 131</w:t>
      </w:r>
    </w:p>
    <w:p>
      <w:r>
        <w:rPr>
          <w:b/>
        </w:rPr>
        <w:t>E. 4.2</w:t>
      </w:r>
    </w:p>
    <w:p>
      <w:r>
        <w:t>Il résulte de l'état de fait déterminant que les défendeurs n° 2 à n° 5 ont été inculpés de contrainte au sens de l' art. 181 CP après les événements du 18 mars 2001. La procédure pénale ayant été toutefois suspendue jusqu'à droit connu sur la présente action civile de la demanderesse, on ne peut rien tirer de cet élément quant à l'illicéité de l'action entreprise par les défendeurs. De toute manière, l'emploi d'un moyen de contrainte prévu par l' art. 181 CP ne signifie pas déjà que le recours à la contrainte soit illicite; l'illicéité doit résulter de l'inadéquation entre les moyens employés et le but poursuivi ( ATF 122 IV 322 consid. 2a; VERA DELNON/BERNHARD RÜDY, Commentaire bâlois, 2003, n. 49 ad art. 181 CP ; BERNARD CORBOZ, Les infractions en droit suisse, vol. I, n. 19 ss ad art. 181 CP ).</w:t>
      </w:r>
    </w:p>
    <w:p>
      <w:r>
        <w:rPr>
          <w:b/>
        </w:rPr>
        <w:t>E. 4.3</w:t>
      </w:r>
    </w:p>
    <w:p>
      <w:r>
        <w:t>Avant toute chose, il y a lieu de définir l'action qui a été organisée par tous les codéfendeurs, puis réalisée en particulier par les défendeurs n° 2, n° 4 et n° 5 le soir du dimanche 18 mars 2001. Il a été retenu définitivement ( art. 63 al. 2 OJ ) qu'aucun employé lié par contrat de travail à la demanderesse n'a participé à la manifestation du jour en question. Partant, cette action ne saurait être qualifiée de grève, laquelle est définie par la jurisprudence comme le refus collectif de la prestation de travail due dans le but d'obtenir des conditions de travail déterminées de la part d'un ou de plusieurs employeurs ( ATF 125 III 277 consid. 3a). Autrement dit, des personnes extérieures à une entreprise, quand bien même elles représentent des travailleurs syndiqués de celle-ci, ne sauraient être considérées comme des grévistes, puisqu'elles n'ont aucune obligation de fournir un travail à l'égard de ladite entreprise. Il a cependant été établi que la manifestation du 18 mars 2001, qui avait pour but d'empêcher les employés de la demanderesse d'imprimer un numéro du quotidien S., a été conduite par les membres d'un syndicat, qui est signataire d'une convention collective conclue avec l'association patronale dont était membre la demanderesse; partant, il s'agissait bien d'une action collective. En outre, elle portait clairement sur les relations de travail au sein de la recourante par voie de jonction et était dirigée contre cet employeur, de sorte qu'elle n'avait pas un caractère politique. Enfin, elle s'est déroulée après l'échec des pourparlers entre la défenderesse n° 1 et la demanderesse concernant la signature avec celle-ci d'une nouvelle BGE 132 III 122 S. 132 convention collective de travail, ce qui est caractéristique d'une "Pattsituation" entre partenaires sociaux, comme l'entend la doctrine alémanique. Il se justifie en conséquence d'admettre que l'action du 18 mars 2001 entre dans la catégorie des moyens de combat relevant du droit collectif du travail (Arbeitskampf), à l'instar de la grève et du lock-out (cf. sur tous ces points, JEAN-FRITZ STÖCKLI, Commentaire bernois, n. 19 ad art. 357a CO ; FRANK VISCHER, Commentaire zurichois, n. 26 à 29 et n. 41 ad art. 357a CO ; HANS-PETER TSCHUDI, Der Arbeitsfrieden, Ziel des Arbeitsrechts, in Mélanges en l'honneur de Jean-Louis Duc, Lausanne 2001, p. 387/ 388; MANFRED REHBINDER, Formen des Arbeitskampfes, in Recht und Arbeitskampf, Berne 1980, p. 15 ss).</w:t>
      </w:r>
    </w:p>
    <w:p>
      <w:r>
        <w:rPr>
          <w:b/>
        </w:rPr>
        <w:t>E. 4.4.1</w:t>
      </w:r>
    </w:p>
    <w:p>
      <w:r>
        <w:t>Jusqu'à l'entrée en vigueur, le 1 er janvier 2000, de la nouvelle Constitution fédérale du 18 avril 1999, le droit des mesures collectives de combat avait été laissé en jachère par le législateur (STÖCKLI, op. cit., n. 20 ad art. 357a CO , avec les références doctrinales). Le moyen de combat en tant que tel n'a d'ailleurs fait l'objet d'aucune disposition du code des obligations (MANFRED REHBINDER/WOLFGANG PORTMANN, Commentaire bâlois, n. 9 ad art. 357a CO ). S'agissant du droit de grève, le Tribunal fédéral avait laissé indécise la question de savoir si le droit de grève était fondé sur un droit constitutionnel non écrit. Il avait toutefois soumis la licéité d'une grève à quatre conditions cumulatives: elle doit être appuyée par une organisation ayant la capacité de négocier une convention collective de travail; elle doit poursuivre des buts susceptibles d'être réglementés par une convention collective; elle ne doit pas violer l'obligation de maintenir la paix du travail; elle doit respecter le principe de la proportionnalité ( ATF 111 II 245 consid. 4c). Puis, dans un arrêt rendu deux mois après l'adoption de la nouvelle Constitution, soit six mois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Dans ce même arrêt, le Tribunal fédéral a consacré à nouveau les quatre conditions cumulatives précitées dont dépendait la licéité d'une grève, en en déduisant qu'étaient interdites les grèves "sauvages" de BGE 132 III 122 S. 133 travailleurs individuels, les grèves "politiques" n'ayant aucun rapport avec la relation de travail ainsi que les mesures de combat portant sur des objets qui sont déjà réglés dans une convention collective ( ATF 125 III 277 consid. 3b). La situation s'est quelque peu décantée après l'adoption de l' art. 28 Cst. relatif à la liberté syndicale, qui reconnaît le caractère licite de la grève et du lock-out. Cette garantie constitutionnelle déploie en effet un effet horizontal indirect (indirekte Drittwirkung) sur les relations de travail dans le secteur privé (KLAUS A. VALLENDER, Die schweizerische Bundesverfassung, Commentaire st-gallois, n. 13 et 23 ad art. 28 Cst. ; PASCAL MAHON, in Jean-François Aubert/Pascal Mahon, Petit commentaire de la Constitution fédérale de la Confédération suisse du 18 avril 1999, n. 15 ad art. 28 Cst. ; PIERRE GARRONE, La liberté syndicale, § 50, n. 35, in Daniel Thürer/Jean-François Aubert/Jörg Paul Müller, Droit constitutionnel suisse, Zurich 2001; ANDREAS AUER/GIORGIO MALINVERNI/MICHEL HOTTELIER, Droit constitutionnel suisse, vol. II, ch. 1604, p. 728/ 729). Dès lors, le juge, qui est appelé, dans le cadre d'une action aquilienne, à se prononcer sur la licéité d'un moyen de combat en droit collectif du travail, est tenu de prendre en compte les garanties constitutionnelles en cause.</w:t>
      </w:r>
    </w:p>
    <w:p>
      <w:r>
        <w:rPr>
          <w:b/>
        </w:rPr>
        <w:t>E. 4.4.2</w:t>
      </w:r>
    </w:p>
    <w:p>
      <w:r>
        <w:t>Le premier alinéa de cette norme constitutionnelle garantit la liberté syndicale ou liberté de coalition (Koalitionsfreiheit), qui est un cas spécial de la liberté générale d'association instaurée par l' art. 23 Cst. L' art. 28 al. 2 Cst. dispose que les conflits sont, autant que possible, réglés par la négociation ou la médiation. Il appert ainsi que le recours à un moyen collectif de lutte ne doit survenir qu'en dernier ressort, c'est-à-dire au titre d'ultima ratio (cf. Message du Conseil fédéral du 20 novembre 1996 relatif à une nouvelle constitution fédérale, FF 1997 I 180; PASCAL MAHON, op. cit., n. 9 ad art. 28 Cst. ; PIERRE GARRONE, op. cit., § 50, n. 21). Selon l' art. 28 al. 3 Cst. , la grève et le lock-out sont licites quand ils se rapportent aux relations de travail et sont conformes aux obligations de préserver la paix du travail ou de recourir à une conciliation. Il résulte du libellé de l' art. 28 Cst. que la grève n'est licite qu'aux conditions suivantes: BGE 132 III 122 S. 134 a) elle doit se rapporter aux relations de travail. Sont ainsi exclues les grèves politiques qui tendent à faire pression sur les autorités (GARRONE, op. cit., § 50, n. 25; MAHON, op. cit., n. 12 ad art. 28 Cst. ); b) elle doit être conforme aux obligations de préserver la paix du travail ou de recourir à une conciliation. L'obligation de maintenir la paix du travail résulte de l' art. 357a al. 2 CO , qui prévoit que les parties à une convention collective de travail sont tenues en particulier de s'abstenir de tout moyen de combat quant aux matières réglées dans la convention. Il s'agit là de l'obligation de paix relative (cf. sur cette notion VISCHER, op. cit., n. 33 ss ad art. 357a CO ; RÉMY WYLER, Droit du travail, p. 494, ch. 4; STÖCKLI, op. cit., n. 30/31 ad art. 357a CO ), laquelle doit être distinguée de l'obligation de paix absolue, qui étend l'obligation aux matières qui ne sont pas réglées dans la convention et qui n'existe que si la convention collective l'impose expressément (cf. WYLER, ibidem; STÖCKLI, op. cit., n. 32 ad art. 357a CO ); c) la grève doit respecter le principe de la proportionnalité (cf. not. VALLENDER, op. cit., n. 26 ad art. 28 Cst. ; GARRONE, op. cit., § 50, n. 27; WOLFGANG PORTMANN, Der Einfluss der neuen Bundesverfassung auf das schweizerische Arbeitsrecht - Insbesondere ein Beitrag zu Art. 28 BV, in Mitteilungen des Instituts für Schweizerisches Arbeitsrecht, Berne 2002, p. 65). Ce principe découle de l'invitation adressée aux parties à l' art. 28 al. 2 Cst. de régler les conflits "autant que possible" par la négociation ou la médiation ( ATF 125 III 277 consid. 3b). Il faut comprendre que la grève ne doit pas être plus incisive qu'il n'est nécessaire pour atteindre le but visé (critère de la nécessité) (MAHON, op. cit., n. 13 in fine ad art. 28 Cst. ). Le texte de l' art. 28 al. 2 Cst. n'a pas repris la quatrième des conditions posées par la jurisprudence, laquelle voulait que la grève soit appuyée par une organisation de travailleurs, un syndicat. Le législateur fédéral n'a toutefois renoncé à inscrire cette exigence dans la norme en question que pour des questions rédactionnelles, sans avoir l'intention de procéder à un changement juridique (cf. VALLENDER, op. cit., n. 27 ad art. 28 Cst. et les références aux débats parlementaires). Il convient donc d'admettre que cette condition est toujours valable (GARRONE, op. cit., § 50, n. 28; AUER/ MALINVERNI/HOTTELIER, op. cit., ch. 1595, p. 724/725). BGE 132 III 122 S. 135</w:t>
      </w:r>
    </w:p>
    <w:p>
      <w:r>
        <w:rPr>
          <w:b/>
        </w:rPr>
        <w:t>E. 4.5</w:t>
      </w:r>
    </w:p>
    <w:p>
      <w:r>
        <w:t>C'est à la lumière de ces quatre conditions qu'il faut vérifier si le moyen de combat mis en action par les défendeurs contre la demanderesse le soir du 18 mars 2001 était licite.</w:t>
      </w:r>
    </w:p>
    <w:p>
      <w:r>
        <w:rPr>
          <w:b/>
        </w:rPr>
        <w:t>E. 4.5.1</w:t>
      </w:r>
    </w:p>
    <w:p>
      <w:r>
        <w:t>Il ne fait aucun doute que la mesure de combat en cause était soutenue par une organisation de travailleurs, puisqu'elle a été organisée et menée par un syndicat, partie à la convention collective signée par l'association patronale à laquelle appartenait la demanderesse.</w:t>
      </w:r>
    </w:p>
    <w:p>
      <w:r>
        <w:rPr>
          <w:b/>
        </w:rPr>
        <w:t>E. 4.5.2</w:t>
      </w:r>
    </w:p>
    <w:p>
      <w:r>
        <w:t>La mesure collective de lutte avait évidemment trait aux relations de travail, puisqu'elle avait pour fin de contraindre la demanderesse à signer une nouvelle convention collective, dont les clauses normatives s'appliqueraient directement aux contrats individuels de travail conclus par celle-ci (cf. GABRIEL AUBERT, Commentaire romand, n. 2 ss ad art. 357 CO ).</w:t>
      </w:r>
    </w:p>
    <w:p>
      <w:r>
        <w:rPr>
          <w:b/>
        </w:rPr>
        <w:t>E. 4.5.3</w:t>
      </w:r>
    </w:p>
    <w:p>
      <w:r>
        <w:t>L'arrêt déféré retient souverainement que la défenderesse n° 1 est signataire avec l'association patronale F. d'une convention collective de travail, entrée en vigueur le 1 er avril 2000, dont la durée de validité s'étendait jusqu'au 30 avril 2004. Le 15 mai 2000, la demanderesse a informé F. qu'elle démissionnait de l'association patronale pour le 31 décembre 2000. Mais comme la convention collective était de durée déterminée, l'effet normatif de celle-ci a continué de s'appliquer, jusqu'à son expiration, à la recourante par voie de jonction. En effet, il est de jurisprudence que même si les travailleurs ou les employeurs quittent leur organisation avant la fin de la durée de validité de la convention collective, les clauses normatives de l'accord persistent à régir les relations de travail nouées entre les employeurs et les travailleurs qui étaient liés par ce dernier lors de sa conclusion (arrêt 4C.7/1999 du 13 juin 2000, consid. 4, publié in SJ 2001 I p. 49 ss). En d'autres termes, la défenderesse n° 1 et la demanderesse étaient toujours soumises à la convention collective en mars 2001. La première devait ainsi veiller à l'observation de l'accord ( art. 357a al. 1 CO in principio) et maintenir la paix du travail, en s'abstenant de tout moyen de combat quant aux matières réglées dans l'accord ( art. 357a al. 2 CO ). L'obligation de maintenir la paix relative du travail l'obligeait notamment à saisir l'office de conciliation institué par la législation cantonale avant d'engager une mesure de lutte (cf. art. 356 al. 3 CO ; MANFRED REHBINDER, Schweizerisches Arbeitsrecht, 15 e éd., ch. 528, p. 245). BGE 132 III 122 S. 136 En droit vaudois, l'art. 27 de la loi du 15 décembre 1942 sur la prévention et le règlement des conflits collectifs, en vigueur à l'époque déterminante, disposait qu'il est interdit aux parties (intéressées à un conflit collectif) de prendre des mesures de coercition quelconques (lock-out, mise à l'index, grève, cessation de travail, etc.) aussi longtemps qu'elles n'auront pas saisi l'office du conflit et que, saisi de celui-ci, l'office de conciliation ou d'arbitrage n'aura pas terminé ses opérations ou rendu sa sentence. En l'espèce, il a été établi que la défenderesse n° 1 n'a saisi l'office cantonal de conciliation que le 19 mars 2001, soit le lendemain de l'action de combat qu'elle a menée contre la demanderesse. Il appert donc que le syndicat pourrait avoir enfreint l'obligation qui lui incombait de préserver la paix du travail. Mais les circonstances sont tout à fait particulières. L'arrêt critiqué a retenu que les recourants principaux ignoraient la nouvelle jurisprudence relative aux effets normatifs d'une convention collective de durée déterminée après que l'employeur, avant le terme de l'accord, a démissionné de l'association patronale signataire. Cette constatation, qui a trait au niveau de connaissance des défendeurs à un moment donné, relève du fait et lie le Tribunal fédéral en instance de réforme ( ATF 124 III 182 consid. 3). Or, le fait pour les intéressés de ne pas connaître l'arrêt 4C.7/1999 du 13 juin 2000 n'est pas décisif. Ce précédent, qui constituait pourtant un changement complet par rapport à la jurisprudence rendue en 1938 ( ATF 64 I 16 consid. 8 p. 32), n'a étrangement pas été publié aux ATF, mais uniquement à la Semaine judiciaire, éditée à Genève. De plus, cet arrêt, prononcé moins d'une année avant les faits litigieux, après avoir rappelé que la question tranchée a fait de tout temps l'objet de vives controverses doctrinales (cf. consid. 4 in initio), s'est fondé essentiellement sur l'opinion récente de FRANK VISCHER (cf. Wirkungen des Verbandsaustritts des Arbeitgebers auf die Geltung des Gesamtarbeitsvertrages, in Zivilprozessrecht, Arbeitsrecht: Kolloquium zu Ehren von Professor Adrian Staehelin, Zurich 1997, p. 95 ss), auteur qui est lui-même revenu sur son opinion antérieure. Dans un tel contexte, l'erreur des défendeurs est excusable. D'une part, ils pouvaient légitimement admettre - comme on vient de le voir - qu'ils n'avaient pas à saisir l'office de conciliation avant de passer à l'action du 18 mars 2001. D'autre part, le groupe BGE 132 III 122 S. 137 industriel dont faisait partie la demanderesse avait clairement annoncé, dès le 30 janvier 2001, qu'il ne reviendrait pas sur sa décision de se retirer de l'association patronale, ce qui coupait court à toute possibilité de trouver un compromis (VISCHER, Commentaire zurichois, n. 40 ad art. 357a CO ; SUZANNE KUSTER ZÜRCHER, Streik und Aussperrung - Vom Verbot zum Recht, thèse Zurich 2004, p. 283/ 284). Il s'ensuit que les défendeurs ne sauraient encourir une responsabilité délictuelle pour avoir enfreint leur devoir de se conformer à la paix relative du travail (REHBINDER, Schweizerisches Arbeitsrecht, 15 e éd., ch. 613, p. 280; BÉATRICE AUBERT-PIGUET, L'exercice du droit de grève, in PJA 1996 p. 1499/1500; WYLER, op. cit., p. 499).</w:t>
      </w:r>
    </w:p>
    <w:p>
      <w:r>
        <w:rPr>
          <w:b/>
        </w:rPr>
        <w:t>E. 4.5.4</w:t>
      </w:r>
    </w:p>
    <w:p>
      <w:r>
        <w:t>Le sort de la querelle repose sur le respect par les défendeurs du principe de la proportionnalité.</w:t>
      </w:r>
    </w:p>
    <w:p>
      <w:r>
        <w:rPr>
          <w:b/>
        </w:rPr>
        <w:t>E. 4.5.4.1</w:t>
      </w:r>
    </w:p>
    <w:p>
      <w:r>
        <w:t>Il découle de ce principe que les mesures collectives de combat ne sont licites qu'au titre d'ultima ratio (FRANK VISCHER, Streik und Aussperrung in der Schweiz, in Wirtschaft und Recht 33/1981, fasc. 2, p. 15; WYLER, op. cit., p. 495). Elles ne sont admissibles que si elles sont nécessaires pour atteindre le but auquel tend la lutte. La doctrine moderne écrit à ce propos que vaut en la matière le principe de la conduite du combat loyal (faire Kampfführung) (STÖCKLI, op. cit., n. 46 ad art. 357a CO ; PORTMANN, op. cit., p. 65 in fine). Sont donc par exemple disproportionnés les moyens de combat faisant usage de la violence ou ceux qui portent atteinte aux biens de l'entreprise (PORTMANN, op. cit., p. 66; STÖCKLI, op. cit., n. 46 ad art. 357a CO ; VISCHER, Streik und Aussperrung in der Schweiz, p. 16).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(cf. STÖCKLI, op. cit., n. 46 ad art. 357a CO ; VISCHER, Streik und Aussperrung in der Schweiz, p. 16; AUBERT-PIGUET, op. cit., p. 1503).</w:t>
      </w:r>
    </w:p>
    <w:p>
      <w:r>
        <w:rPr>
          <w:b/>
        </w:rPr>
        <w:t>E. 4.5.4.2</w:t>
      </w:r>
    </w:p>
    <w:p>
      <w:r>
        <w:t>D'après l'arrêt attaqué, l'action du 18 mars 2001 a débuté aux alentours de 17 h 30. A ce moment, une quinzaine de membres et sympathisants de la défenderesse n° 1 ont bloqué les accès de la BGE 132 III 122 S. 138 demanderesse. Lorsque les premiers employés de celle-ci sont arrivés devant l'entreprise pour occuper leur poste de travail, les défendeurs n° 2, n° 4 et n° 5 leur ont expliqué les raisons de la manifestation. Adoptant une attitude neutre, ces travailleurs se sont alors rendus dans un établissement public des environs. Il appert que cette phase de l'action était parfaitement licite. Sans utiliser ni violence ni contrainte, les défendeurs précités sont parvenus à dissuader quelques employés d'aller travailler. Cette situation est celle du "peaceful picketing" envisagée par la doctrine (cf. consid. 4.5.4.1 ci-dessus). La suite des événements a été tout autre. Sitôt que le détachement de policiers envoyé par l'autorité politique vers 22 h 30 a tenté d'évacuer par la force les manifestants, ceux-ci ont formé une chaîne humaine devant une des entrées de l'entreprise, ce qui a provoqué quelques échauffourées avec les forces de l'ordre. Le système de fermeture de la porte en question a été brisé. Puis, alors que le personnel ouvrier avait pu entrer dans les locaux de la demanderesse, les manifestants se sont rassemblés devant l'entrée pour empêcher toute sortie du bâtiment, en particulier la diffusion du quotidien S. Un tel modus operandi, qui consistait, par l'usage de la force physique d'un groupe compact de personnes, à entraver les travailleurs dans leur liberté d'action et qui a de plus entraîné le bris d'un système de fermeture, était déjà disproportionné. C'est alors que les premiers manifestants ont été rejoints par des membres du milieu alternatif lausannois. Afin d'assurer la livraison des sacs de journaux, la police a mis en place, vers 1 h du matin le 19 mars 2001, une manoeuvre de diversion pour les faire sortir par une autre issue. Avertis par des guetteurs, les manifestants sont toutefois parvenus à se déplacer en masse. Des affrontements relativement violents sont survenus entre ces derniers et les forces de l'ordre. Des vitres du bâtiment ont été brisées. Une vingtaine de minutes plus tard, les manifestants, qui n'étaient plus appuyés par les opposants du milieu autogéré lausannois, ont encore tenté d'empêcher un camion de prendre livraison d'un nouveau stock de journaux. Certains d'entre eux se sont couchés devant le véhicule; d'autres ont cherché à frapper le chauffeur. Des ouvriers de la demanderesse en sont venus aux mains avec des syndicalistes. Le pneu d'un autre camion a enfin été crevé une demi-heure plus tard. BGE 132 III 122 S. 139 A considérer le déroulement des faits pendant la soirée en question, il apparaît que, pendant plus de trois heures, les défendeurs ont entravé les travailleurs de la demanderesse dans l'accomplissement de leurs tâches, qui consistaient à imprimer un numéro du quotidien S. puis à en permettre la diffusion. Pour ce faire, ils ont usé de la force physique, s'opposant véhémentement aux forces de l'ordre, et ont eu des altercations avec des ouvriers de la demanderesse, sans doute excédés par la tournure des événements. Des dommages matériels ont en outre été commis au préjudice de la recourante par voie de jonction. Il est vrai que le défendeur n° 4 a admis devant le juge d'instruction que les premiers manifestants avaient été débordés quand ils avaient été rejoints par des membres du milieu alternatif lausannois. Cela ne change pourtant rien à l'affaire. Il incombe en effet à une organisation de travailleurs, qui souhaite mener une action de combat loyale, de mettre en place un service d'ordre efficace pour écarter la participation à l'action d'individus enclins à la violence et désireux d'en découdre. En conclusion, l'action entreprise le soir du 18 mars 2001 violait le principe de la proportionnalité, ce qui la rendait clairement illicite au sens de l' art. 41 CO .</w:t>
      </w:r>
    </w:p>
    <w:p>
      <w:r>
        <w:rPr>
          <w:b/>
        </w:rPr>
        <w:t>E. 4.6</w:t>
      </w:r>
    </w:p>
    <w:p>
      <w:r>
        <w:t>La branche du grief relative à la violation de l' art. 28 CC est privée de tout fondement. On cherche vainement les atteintes que la demanderesse aurait portées sans droit contre les intérêts personnels des défendeurs. Il est exclu de voir une telle atteinte dans la démission de la recourante par voie de jonction de l'association patronale partie à la convention collective entrée en vigueur le 1 er avril 2000. L'employeur peut en effet se libérer des obligations d'une convention collective de durée déterminée en démissionnant de l'association patronale en question, avec la réserve - on l'a dit plus haut - que les effets normatifs de l'accord s'appliquent jusqu'à son expiration notamment aux travailleurs liés par celui-ci lors de sa conclusion (cf. arrêt 4C.7/1999 du 13 juin 2000, consid. 4, publié in SJ 2001 I p. 49 ss). En résumé, le recours principal doit être entièrement rejeté avec des motifs substitués.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