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49</w:t>
      </w:r>
    </w:p>
    <w:p>
      <w:r>
        <w:t>Bundesgericht (BGE), 2002-12-31, DE</w:t>
      </w:r>
    </w:p>
    <w:p>
      <w:r>
        <w:rPr>
          <w:b/>
        </w:rPr>
        <w:t xml:space="preserve">Quelle: </w:t>
      </w:r>
      <w:r>
        <w:t>https://mcp.opencaselaw.ch/entscheid/bge_BGE_131_V_49</w:t>
      </w:r>
    </w:p>
    <w:p>
      <w:r>
        <w:t>FR: ATF 131 V 49</w:t>
      </w:r>
    </w:p>
    <w:p>
      <w:r>
        <w:t>IT: DTF 131 V 49</w:t>
      </w:r>
    </w:p>
    <w:p>
      <w:pPr>
        <w:pStyle w:val="Heading2"/>
      </w:pPr>
      <w:r>
        <w:t>Regeste</w:t>
      </w:r>
    </w:p>
    <w:p>
      <w:r>
        <w:t>Regeste Art. 4 Abs. 1 IVG (in der bis 31. Dezember 2002 gültig gewesenen Fassung); Art. 4 Abs. 1 IVG (in der seit 1. Januar 2003 geltenden Fassung) in Verbindung mit Art. 8 Abs. 1 ATSG: Somatoforme Schmerzstörungen und Invaliditätsbegriff. Die Prüfung der invalidisierenden Wirkung von Schmerzstörungen setzt eine gesamthafte Prüfung der Sachlage nach den in BGE 130 V 352 formulierten Kriterien voraus; mit zu berücksichtigen sind dabei auch Aspekte, welche gegen eine Leistungspflicht der Invalidenversicherung sprechen. (Erw. 1.2)</w:t>
      </w:r>
    </w:p>
    <w:p>
      <w:r>
        <w:t>Regeste Art. 4 al. 1 LAI (dans sa teneur en vigueur jusqu'au 31 décembre 2002); art. 4 al. 1 LAI (dans sa teneur en vigueur dès le 1er janvier 2003) en liaison avec art. 8 al. 1 LPGA: Troubles somatoformes douloureux et invalidité. L'examen du caractère invalidant de troubles somatoformes douloureux suppose un examen complet de la situation de fait selon les critères développés par l'arrêt ATF 130 V 352; dans ce contexte, il y a également lieu de prendre en considération les aspects qui parlent en défaveur d'une obligation de prestation de l'assurance-invalidité. (consid. 1.2)</w:t>
      </w:r>
    </w:p>
    <w:p>
      <w:r>
        <w:t>Regesto Art. 4 cpv. 1 LAI (nel tenore in vigore fino al 31 dicembre 2002); art. 4 cpv. 1 LAI (nel tenore in vigore dal 1° gennaio 2003) in relazione con l'art. 8 cpv. 1 LPGA: Disturbo da dolore somatoforme e nozione d'invalidità. L'esame dell'effetto invalidante di un disturbo da dolore somatoforme richiede una verifica completa della situazione sulla base dei criteri formulati nella sentenza pubblicata in DTF 130 V 352; da considerare sono anche aspetti che parlano a sfavore di un obbligo di prestazione dell'assicurazione per l'invalidità. (consid. 1.2)</w:t>
      </w:r>
    </w:p>
    <w:p>
      <w:pPr>
        <w:pStyle w:val="Heading2"/>
      </w:pPr>
      <w:r>
        <w:t>Erwägungen</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 BGE 102 V 165 ; AHI 2001 S. 228 Erw. 2b mit Hinweisen; vgl. auch BGE 127 V 298 Erw. 4c in fine). Die Annahme eines psychischen Gesundheitsschadens, so auch einer anhaltenden somatoformen Schmerzstörung, setzt zunächst eine fachärztlich (psychiatrisch) gestellte Diagnose nach einem wissenschaftlich anerkannten Klassifikationssystem voraus (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BGE 131 V 49 S. 51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namentlich für den Einkommensvergleich in der Invaliditätsbemessung, in: SCHAFFHAUSER/ Schlauri [Hrsg.], Schmerz und Arbeitsunfähigkeit, St. Gallen 2003, S. 77). Beruht die Leistungseinschränkung auf Aggravation oder einer ähnlichen Konstellation, liegt regelmässig keine versicherte Gesundheitsschädigung vor (siehe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(siehe KOPP/WILLI/KLIPSTEIN, Im Graubereich zwischen Körper, Psyche und sozialen Schwierigkeiten, in: Schweizerische Medizinische Wochenschrift 1997, S. 1434, mit Hinweis auf eine grundlegende Untersuchung von WINCKLER und FOERSTER).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