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325</w:t>
      </w:r>
    </w:p>
    <w:p>
      <w:r>
        <w:t>Bundesgericht (BGE), 2005-01-01, DE</w:t>
      </w:r>
    </w:p>
    <w:p>
      <w:r>
        <w:rPr>
          <w:b/>
        </w:rPr>
        <w:t xml:space="preserve">Quelle: </w:t>
      </w:r>
      <w:r>
        <w:t>https://mcp.opencaselaw.ch/entscheid/bge_BGE_131_V_325</w:t>
      </w:r>
    </w:p>
    <w:p>
      <w:r>
        <w:t>FR: ATF 131 V 325</w:t>
      </w:r>
    </w:p>
    <w:p>
      <w:r>
        <w:t>IT: DTF 131 V 325</w:t>
      </w:r>
    </w:p>
    <w:p>
      <w:pPr>
        <w:pStyle w:val="Heading2"/>
      </w:pPr>
      <w:r>
        <w:t>Regeste</w:t>
      </w:r>
    </w:p>
    <w:p>
      <w:r>
        <w:t>Regeste Art. 38, Art. 60 Abs. 2, Art. 82 Abs. 2 ATSG; Art. 106 UVG; Art. 104 MVG: Fristenstillstand bei negativer kantonaler Regelung. Keine Anwendung des Fristenstillstandes gemäss ATSG auf mehrmonatige Beschwerdefristen, wenn die kantonale Regelung dies (noch) nicht vorsieht. Insofern umfasst die Übergangsbestimmung des Art. 82 Abs. 2 ATSG auch negative kantonale Regelungen. (Erw. 4.2 f.)</w:t>
      </w:r>
    </w:p>
    <w:p>
      <w:r>
        <w:t>Regeste Art. 38, art. 60 al. 2, art. 82 al. 2 LPGA; art. 106 LAA; art. 104 LAM: Suspension des délais en cas de réglementation cantonale négative. Pas d'application de la suspension des délais selon la LPGA à des délais de recours de plusieurs mois lorsque la réglementation cantonale ne le prévoit pas (encore). Dans cette mesure, la disposition transitoire de l'art. 82 al. 2 LPGA vise également les cas de réglementation cantonale négative. (consid. 4.2 sv.)</w:t>
      </w:r>
    </w:p>
    <w:p>
      <w:r>
        <w:t>Regesto Art. 38, art. 60 cpv. 2, art. 82 cpv. 2 LPGA; art. 106 LAINF; art. 104 LAM: Sospensione dei termini in caso di regolamentazione cantonale negativa. Nessuna applicazione della sospensione dei termini secondo la LPGA a dei termini di ricorso di più mesi se l'ordinamento cantonale non lo prevede (ancora). In questa misura, la disposizione transitoria dell' art. 82 cpv. 2 LPGA si estende ugualmente alle regolamentazioni cantonali negative. (consid. 4.2 seg.)</w:t>
      </w:r>
    </w:p>
    <w:p>
      <w:pPr>
        <w:pStyle w:val="Heading2"/>
      </w:pPr>
      <w:r>
        <w:t>Erwägungen</w:t>
      </w:r>
    </w:p>
    <w:p>
      <w:r>
        <w:rPr>
          <w:b/>
        </w:rPr>
        <w:t>E. 2</w:t>
      </w:r>
    </w:p>
    <w:p>
      <w:r>
        <w:t>[2.1-2.3 : Rechtliche Grundlagen; vgl. BGE 131 V 316 Erw. 3.1-3.3] BGE 131 V 325 S. 326</w:t>
      </w:r>
    </w:p>
    <w:p>
      <w:r>
        <w:rPr>
          <w:b/>
        </w:rPr>
        <w:t>E. 2.4</w:t>
      </w:r>
    </w:p>
    <w:p>
      <w:r>
        <w:t>Im Kanton Zürich wird das Verfahren in sozialversicherungsrechtlichen Streitigkeiten durch das Gesetz über das Sozialversicherungsgericht vom 7. März 1993 (GSVGer; LS 212.81) geregelt. Dieses bestimmt in § 13 in der bis Ende 2004 geltenden Fassung, dass "die gesetzlichen und richterlichen Fristen, die nach Tagen bestimmt sind", stillstehen a. vom siebten Tag vor Ostern bis und mit dem siebten Tag nach Ostern; b. vom 15. Juli bis und mit dem 15. August; c. vom 18. Dezember bis und mit dem 1. Januar. Das Sozialversicherungsgericht des Kantons Zürich räumte - in einem früheren Entscheid - zwar ein, es lasse sich aufgrund des Wortlautes dieser Bestimmung die Auffassung vertreten, die Vorschrift umfasse sämtliche Fristen und bezwecke eine Abgrenzung lediglich gegenüber den Terminen (d.h. der auf ein bestimmtes Datum festgesetzten richterlichen Fristen). Auch treffe es zu, dass der entstehungsgeschichtliche Zusammenhang (Einführung des Art. 22a VwVG ) und das Postulat einer Vereinheitlichung des sozialversicherungsrechtlichen Verfahrens für eine generelle Anwendbarkeit der Bestimmung des § 13 GSVGer sprächen. Das kantonale Gericht erkannte jedoch, dass diese Norm nach Wortlaut sowie Sinn und Zweck sowie den Besonderheiten des erstinstanzlichen Beschwerdeverfahrens nach UVG (längere Beschwerdefrist, vorausgehendes Einspracheverfahren) auf die nach Monaten bestimmte Frist des Art. 106 Abs. 1 UVG (in der bis Ende 2002 gültigen Fassung) nicht anwendbar sei. Das Eidgenössische Versicherungsgericht hat diese Beurteilung weder als willkürlich befunden noch darin einen Verstoss gegen Bundesrecht erblickt, nachdem seinerzeit gegen den kantonalen Entscheid Verwaltungsgerichtsbeschwerde erhoben worden war (SVR 1998 UV Nr. 10 S. 27 Erw. 2c). (...)</w:t>
      </w:r>
    </w:p>
    <w:p>
      <w:r>
        <w:rPr>
          <w:b/>
        </w:rPr>
        <w:t>E. 4.1</w:t>
      </w:r>
    </w:p>
    <w:p>
      <w:r>
        <w:t>Das UVG in der bis Ende 2002 geltenden Fassung kannte im Gegensatz zu Art. 96 AHVG (in Kraft bis Ende 2002), welcher die Art. 20 bis 24 VwVG anwendbar erklärte, keine Vorschrift, wonach die Bestimmungen über die Fristen gemäss VwVG auch im kantonalen Beschwerdeverfahren gemäss Art. 108 UVG anwendbar seien. Insbesondere fand die mit der Revision des OG BGE 131 V 325 S. 327 vom 4. Oktober 1991 auf den 15. Februar 1992 in Kraft getretene Bestimmung des Art. 22a VwVG über den Fristenstillstand im Verwaltungsverfahren auf das erstinstanzliche Beschwerdeverfahren nach UVG keine Anwendung (RKUV 1994 Nr. U 194 S. 208). Anderseits schloss das UVG die Anwendung kantonalrechtlicher Fristenstillstandsbestimmungen im erstinstanzlichen Beschwerdeverfahren nicht aus ( BGE 116 V 265 ). Es war somit bisher den Kantonen anheimgestellt, ob sie für das Beschwerdeverfahren nach Art. 108 UVG Gerichtsferien vorsehen wollten oder nicht (SVR 1998 UV 10 S. 26 Erw. 2a).</w:t>
      </w:r>
    </w:p>
    <w:p>
      <w:r>
        <w:rPr>
          <w:b/>
        </w:rPr>
        <w:t>E. 4.2</w:t>
      </w:r>
    </w:p>
    <w:p>
      <w:r>
        <w:t>(vgl. BGE 131 V 323 Erw. 5.2)</w:t>
      </w:r>
    </w:p>
    <w:p>
      <w:r>
        <w:rPr>
          <w:b/>
        </w:rPr>
        <w:t>E. 4.3</w:t>
      </w:r>
    </w:p>
    <w:p>
      <w:r>
        <w:t>Die Argumente der Versicherten, welche für die Anwendung des ATSG und seiner Bestimmungen zum Fristenstillstand plädiert, dringen nicht durch. Art. 82 Abs. 2 ATSG räumt dem kantonalen Gesetzgeber für die Anpassung an das ATSG eine Übergangsfrist von fünf Jahren ein, kantonale Bestimmungen, die mit Bundesrecht (insbesondere mit Art. 60 und 61 ATSG ) nicht vereinbar sind, anzupassen (vgl. Erw. 4.2 hievor). Mit dieser einzigen verfahrensrechtlichen Übergangsbestimmung hat sich der Gesetzgeber für eine kantonal unterschiedliche Verfahrensordnung während längerer Zeit entschieden. Er hat damit insbesondere auch in Kauf genommen, dass der Fristenstillstand in der Sozialversicherungsrechtspflege je nach kantonaler Verfahrensordnung unterschiedlich ausfällt. Es geht nicht darum, dass die Kantone damit befugt wären, über das In-Kraft-Treten des Bundesrechts zu bestimmen, denn spätestens am 1. Januar 2008 müssen die kantonalen Regelungen an das ATSG angepasst worden sein; der Bundesgesetzgeber hat die intertemporalrechtliche Weichenstellung in Art. 82 Abs. 2 ATSG vorgenommen. Das ATSG ist zwar darauf angelegt, dass formelle Bestimmungen (z.B. für das Verwaltungsverfahren) grundsätzlich sofort in Kraft treten, jedoch besteht eine Ausnahme in Art. 82 Abs. 2 ATSG , welche für das Rechtspflegeverfahren zwingend ist, auch wenn damit während der Übergangszeit das angestrebte Ziel der Rechtseinheit (noch) nicht erreicht wird. Die Argumentation mit "Sinn und Zweck" des ATSG ist in diesem Zusammenhang untauglich, weil dieses Auslegungselement im intertemporalrechtlichen Kontext nicht mit der Wünschbarkeit einer einheitlichen Regelung der Fristberechnung inkl. Fristenstillstand gleichgesetzt werden darf (vgl. BGE 116 V 270 Erw. 5a). BGE 131 V 325 S. 328 Wenn die Beschwerdeführerin schliesslich geltend macht, nach § 13 GSVGer seien die Fristen den Parteien in der Rechtsmittelbelehrung anzuzeigen, ist darauf hinzuweisen, dass diese kantonale Regelung die SUVA als eidgenössische Institution nicht bindet, da sie im Rahmen des Verwaltungsverfahrens - zu welchem auch der Erlass des Einspracheentscheides gehört - nicht dem kantonalen Recht unterworfen ist. Ob dies bei einer kantonalen Behörde - wie z.B. der IV-Stelle - anders ist, braucht hier nicht entschieden zu werden.</w:t>
      </w:r>
    </w:p>
    <w:p>
      <w:r>
        <w:rPr>
          <w:b/>
        </w:rPr>
        <w:t>E. 4.4</w:t>
      </w:r>
    </w:p>
    <w:p>
      <w:r>
        <w:t>§ 13 Abs. 3 GSVGer in der bis Ende 2004 geltenden Fassung unterwirft lediglich die nach Tagen bestimmte Frist dem Fristenstillstand. Daraus hat sich eine konstante zürcherische und vom Eidgenössischen Versicherungsgericht geschützte Praxis entwickelt, wonach Monatsfristen wie diejenige von drei Monaten gemäss Art. 106 Abs. 1 UVG in der bis Ende 2002 gültigen Fassung dem Regime des Fristenstillstandes nicht unterworfen sind (SVR 1998 UV Nr. 10 S. 27 Erw. 2c). Diese negative Regelung hat längstens bis Ende 2007 resp. bis zur vorher erfolgten Einführung des Fristenstillstands für Monatsfristen Bestand (vgl. Erw. 4.2 f. hievor). Deshalb ist die vorinstanzliche Beschwerde offensichtlich verspätet eingereicht worden und das kantonale Gericht zu Recht darauf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