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147</w:t>
      </w:r>
    </w:p>
    <w:p>
      <w:r>
        <w:t>Bundesgericht (BGE), 2002-12-31, DE</w:t>
      </w:r>
    </w:p>
    <w:p>
      <w:r>
        <w:rPr>
          <w:b/>
        </w:rPr>
        <w:t xml:space="preserve">Quelle: </w:t>
      </w:r>
      <w:r>
        <w:t>https://mcp.opencaselaw.ch/entscheid/bge_BGE_131_V_147</w:t>
      </w:r>
    </w:p>
    <w:p>
      <w:r>
        <w:t>FR: ATF 131 V 147</w:t>
      </w:r>
    </w:p>
    <w:p>
      <w:r>
        <w:t>IT: DTF 131 V 147</w:t>
      </w:r>
    </w:p>
    <w:p>
      <w:pPr>
        <w:pStyle w:val="Heading2"/>
      </w:pPr>
      <w:r>
        <w:t>Regeste</w:t>
      </w:r>
    </w:p>
    <w:p>
      <w:r>
        <w:t>Regeste Art. 9 Abs. 1 Satz 1 KVV (in der bis 31. Dezember 2002 gültig gewesenen Fassung); Art. 90 Abs. 3 KVV: Mahnverfahren. Alt Art. 9 Abs. 1 Satz 1 KVV (nunmehr Art. 90 Abs. 3 KVV) schreibt den Krankenversicherern vor, fällige Prämien und Kostenbeteiligungen zu mahnen und anschliessend bei ausgebliebener Bezahlung das Vollstreckungsverfahren nach SchKG einzuleiten. (Erw. 5) Die verordnungsmässige Notwendigkeit, fällige Prämien und Kostenbeteiligungen vor Einleitung des Vollstreckungsverfahrens zu mahnen, ist verfassungs- und gesetzeskonform. (Erw. 6)</w:t>
      </w:r>
    </w:p>
    <w:p>
      <w:r>
        <w:t>Regeste Art. 9 al. 1, 1re phrase, OAMal (dans sa teneur en vigueur jusqu'au 31 décembre 2002); art. 90 al. 3 OAMal: Procédure de sommation. L'art. 9 al. 1, 1re phrase, OAMal (aujourd'hui: art. 90 al. 3 OAMal) prescrit aux assureurs-maladie d'adresser une sommation pour les primes et les participations aux coûts échues et d'agir ensuite, en cas de non-paiement, par la voie de la poursuite pour dettes selon la LP. (consid. 5) L'obligation prévue par l'ordonnance de procéder d'abord à une sommation avant d'engager la procédure de poursuite est conforme à la Constitution et à la loi. (consid. 6)</w:t>
      </w:r>
    </w:p>
    <w:p>
      <w:r>
        <w:t>Regesto Art. 9 cpv. 1 prima frase OAMal (nella versione in vigore fino al 31 dicembre 2002); art. 90 cpv. 3 OAMal: Procedura di diffida. L'art. 9 cpv. 1 prima frase OAMal (ora art. 90 cpv. 3 OAMal) prescrive agli assicuratori malattia di diffidare gli assicurati per i premi e per le partecipazioni ai costi scaduti e di promuovere in seguito, in caso di mancato pagamento, una procedura esecutiva ai sensi della LEF. (consid. 5) L'obbligo previsto dall'ordinanza di procedere a una diffida per premi e partecipazioni ai costi prima di promuovere la procedura esecutiva è conforme alla Costituzione e alla legge. (consid. 6)</w:t>
      </w:r>
    </w:p>
    <w:p>
      <w:pPr>
        <w:pStyle w:val="Heading2"/>
      </w:pPr>
      <w:r>
        <w:t>Erwägungen</w:t>
      </w:r>
    </w:p>
    <w:p>
      <w:r>
        <w:rPr>
          <w:b/>
        </w:rPr>
        <w:t>E. 3</w:t>
      </w:r>
    </w:p>
    <w:p>
      <w:r>
        <w:t>Die Vorinstanz hat die Rechtsöffnung nur für jenen Teil der in Betreibung gesetzten Prämienforderungen erteilt, die von der Kasse vorgängig gemahnt worden sind. Zur Begründung verweist das kantonale Gericht auf Art. 9 Abs. 1 Satz 1 KVV (in der bis Ende 2002 gültig gewesenen, hier anwendbaren Fassung; BGE 127 V 467 Erw. 1, BGE 121 V 366 Erw. 1b; nunmehr Art. 90 Abs. 3 KVV ). Die Beschwerdeführerin bestreitet, dass diese Verordnungsbestimmung zwingend eine Mahnung fälliger Prämien verlangt, ehe für diese das Vollstreckungsverfahren eingeleitet werden darf. Darüber hinaus stellt die Versicherung die Rechtmässigkeit der Bestimmung in Frage, insbesondere verstosse sie gegen betreibungsrechtliche Grundsätze.</w:t>
      </w:r>
    </w:p>
    <w:p>
      <w:r>
        <w:rPr>
          <w:b/>
        </w:rPr>
        <w:t>E. 4</w:t>
      </w:r>
    </w:p>
    <w:p>
      <w:r>
        <w:t>(...)</w:t>
      </w:r>
    </w:p>
    <w:p>
      <w:r>
        <w:rPr>
          <w:b/>
        </w:rPr>
        <w:t>E. 5</w:t>
      </w:r>
    </w:p>
    <w:p>
      <w:r>
        <w:t>Alt Art. 9 Abs. 1 Satz 1 KVV (in der bis 31. Dezember 2002 gültig gewesenen Fassung) lautet in den drei amtssprachlichen BGE 131 V 147 S. 149 Fassungen (Art. 9 Abs. 1 des Bundesgesetzes vom 21. März 1986 über die Gesetzessammlungen und das Bundesblatt; SR 170.512) wie folgt: "Bezahlen Versicherte fällige Prämien oder Kostenbeteiligungen trotz Mahnung nicht, hat der Versicherer das Vollstreckungsverfahren einzuleiten." "Si, malgré sommation, l'assuré ne paie pas les primes ou participations aux coûts échues, l'assureur doit engager une procédure de poursuite." "Se, nonostante diffida, l'assicurato non paga premi o partecipazioni ai costi scaduti, l'assicuratore deve promuovere una procedura esecutiva." Der Vollständigkeit halber sei erwähnt, dass der bis Ende 2002 in Kraft gewesene alt Art. 9 Abs. 1 KVV abgesehen von einer redaktionellen Änderung je in der französischen ("en dépit" an Stelle von "malgré") und italienischen Fassung (am Ende des Absatzes: "prevedono" anstatt "contemplano") wortwörtlich in den neuen Art. 90 Abs. 3 KVV überführt worden ist.</w:t>
      </w:r>
    </w:p>
    <w:p>
      <w:r>
        <w:rPr>
          <w:b/>
        </w:rPr>
        <w:t>E. 5.1</w:t>
      </w:r>
    </w:p>
    <w:p>
      <w:r>
        <w:t>Der Wortlaut ist insoweit klar, als dass ein Vollstreckungsverfahren zwingend einzuleiten ist, wenn die versicherte Person fällige Prämien oder Kostenbeteiligungen trotz Mahnung nicht beglichen hat. Hingegen ist er nicht eindeutig hinsichtlich der Frage, ob - so die Überzeugung der Vorinstanz - das Vollstreckungsverfahren umgekehrt auch nur eingeleitet werden kann, wenn die fälligen Ausstände vorgängig gemahnt worden sind, oder - so im Ergebnis die Auffassung der Beschwerdeführerin - fällige Forderungen auch ohne spezielle Zahlungserinnerung direkt in Betreibung gesetzt werden können. Der vom Verordnungsgeber gewählte Satzaufbau gibt hierzu keine eindeutige und unmissverständliche Antwort.</w:t>
      </w:r>
    </w:p>
    <w:p>
      <w:r>
        <w:rPr>
          <w:b/>
        </w:rPr>
        <w:t>E. 5.2</w:t>
      </w:r>
    </w:p>
    <w:p>
      <w:r>
        <w:t>Indessen wäre die Bestimmung ohne die gleichzeitige Verpflichtung des Versicherers, sämtliche fälligen Prämien und Kostenbeteiligungen zwingend zu mahnen, ihres Sinnes beraubt. Denn diesfalls wäre letztlich der Entscheid, ob eine fällige Forderung auf dem Betreibungsweg durchgesetzt werden soll oder nicht, dem Versicherungsträger anheim gestellt: Mahnt er, muss er bei ausgebliebener Zahlung zwingend das Vollstreckungsverfahren einleiten; verzichtet er auf die Zahlungserinnerung, muss er die Ausstände auch nicht auf dem Betreibungsweg vollstrecken und allfällige Krankheitskosten und Prämienausstände gingen damit zu Lasten der Versichertengemeinschaft. BGE 131 V 147 S. 150 Dies widerspricht aber der gesetzlichen Zahlungspflicht des Versicherten ( Art. 61 und 64 KVG ), welche mit Blick auf die in der sozialen Krankenversicherung geltenden Grundsätze der Gegenseitigkeit und der Gleichbehandlung der Versicherten ( Art. 13 Abs. 2 lit. a KVG ) auf der anderen Seite vom Krankenversicherer verlangt, Ausstände einzufordern (vgl. EVGE 1967 S. 11 Erw. 3b; bestätigt in RSKV 1973 Nr. 178 S. 155 Erw. 3).</w:t>
      </w:r>
    </w:p>
    <w:p>
      <w:r>
        <w:rPr>
          <w:b/>
        </w:rPr>
        <w:t>E. 5.3</w:t>
      </w:r>
    </w:p>
    <w:p>
      <w:r>
        <w:t>Anhaltspunkte, die für eine letztlich der Konzeption der sozialen Krankenpflegeversicherung zuwiderlaufende Lesart von alt Art. 9 Abs. 1 Satz 1 KVV sprechen könnten, sind den (weiteren) bei der Auslegung zu berücksichtigenden Gesichtspunkten (vgl. dazu BGE 128 V 112 Erw. 4b/aa mit Hinweisen) nicht zu entnehmen.</w:t>
      </w:r>
    </w:p>
    <w:p>
      <w:r>
        <w:rPr>
          <w:b/>
        </w:rPr>
        <w:t>E. 6</w:t>
      </w:r>
    </w:p>
    <w:p>
      <w:r>
        <w:t>Nachdem feststeht, dass alt Art. 9 Abs. 1 Satz 1 KVV das Mahnen fälliger Prämien und Kostenbeiträge vor Einleitung des Vollstreckungsverfahrens zwingend vorschreibt, ist dessen Verfassungs- und Gesetzmässigkeit zu prüfen.</w:t>
      </w:r>
    </w:p>
    <w:p>
      <w:r>
        <w:rPr>
          <w:b/>
        </w:rPr>
        <w:t>E. 6.1</w:t>
      </w:r>
    </w:p>
    <w:p>
      <w:r>
        <w:t>Die Erfüllung der Prämienzahlungs- und der Kostenbeteiligungspflicht durch die Versicherten ist - wie bereits erwähnt - für die Finanzierung der Krankenpflegeversicherung ( Art. 60 ff. KVG ) und damit den Gesetzesvollzug unentbehrlich. Art. 88 Abs. 2 KVG (in der bis 31. Dezember 2002 gültig gewesenen Fassung; nunmehr: Art. 54 ATSG ) bestimmt, dass die gemäss Art. 88 Abs. 1 KVG vollstreckbaren Verfügungen und Einspracheentscheide, die auf Geldzahlung oder Sicherheitsleistung gerichtet sind, vollstreckbaren Urteilen im Sinne von Art. 80 SchKG gleichstehen. Ansonsten finden sich keine weiteren Bestimmungen zur Durchsetzung der Geldforderungen; auch keine solchen, die den Bundesrat ausdrücklich ermächtigen, die Vollstreckung näher auf Verordnungsebene zu regeln ( BGE 125 V 273 Erw. 6c). Indessen ist er in Art. 96 KVG allgemein beauftragt, Ausführungsbestimmungen zu erlassen.</w:t>
      </w:r>
    </w:p>
    <w:p>
      <w:r>
        <w:rPr>
          <w:b/>
        </w:rPr>
        <w:t>E. 6.2</w:t>
      </w:r>
    </w:p>
    <w:p>
      <w:r>
        <w:t>Das Eidgenössische Versicherungsgericht hat bereits an anderer Stelle entschieden, dass auf Grund dieser Gesetzeslage neben der Zwangsvollstreckung nach SchKG in der KVV keine weiteren Formen des Vollzugszwangs eingeführt werden dürfen ( BGE 125 V 266 , insbesondere 272 ff. Erw. 6). Die im SchKG geregelte Ordnung der Zwangsvollstreckung von Geldforderungen verlangt für die Erteilung der Rechtsöffnung nur, dass die betriebene Forderung fällig ist (STAEHELIN/BAUER/STAEHELIN BGE 131 V 147 S. 151 [Hrsg.], Kommentar zum Bundesgesetz über Schuldbetreibung und Konkurs, SchKG I, Art. 1-87, Basel 1998, N 39 zu Art. 80 und N 77 zu Art. 82, je mit Hinweisen). Alt Art. 9 Abs. 1 Satz 1 KVV bestimmt dagegen, dass fällige Prämien und Kostenbeteiligungen erst nach vorgängiger Mahnung der Zwangsvollstreckung nach SchKG zugeführt werden dürfen. Damit wird jedoch keine neue Form der Zwangsvollstreckung geschaffen, sondern es werden lediglich deren Modalitäten für Prämien und Kostenbeteiligungen näher umschrieben. Der Gläubiger ist gefordert, neben dem geltend gemachten Ausstand dessen Mahnung durch Urkunde nachzuweisen, es sei denn, beides werde von der Gegenpartei ausdrücklich anerkannt oder wenn beides notorisch oder gerichtsnotorisch ist (in diesem Sinne ebenso bei zur Vollstreckung anstehenden suspensiv bedingten Forderungen: PETER STÜCHELI, Die Rechtsöffnung, Diss. Zürich 2000, S. 116 und 203; STAEHELIN/BAUER/STAEHELIN, a.a.O., N 44 zu Art. 80). Macht die Verwaltungsbehörde dagegen von der weitaus häufiger anzutreffenden Möglichkeit Gebrauch, einen im Rahmen des von ihr eingeleiteten Betreibungsverfahrens erhobenen Rechtsvorschlag selbst als ordentlicher Richter im Sinne von Art. 79 SchKG zu beseitigen ( BGE 119 V 331 Erw. 2b, BGE 128 III 41 Erw. 2; Pra 2003 Nr. 31 S. 159 Erw. 4; vgl. ROTH, Die Krankenkasse als Rechtsöffnungsrichterin in eigener Sache, in: Festschrift 75 Jahre Konferenz der Betreibungs- und Konkursbeamten der Schweiz, Basel 2000, S. 235, sowie grundsätzlich AMONN/WALTHER, Grundriss des Schuldbetreibungs- und Konkursrechts, 7. Aufl. 2003, § 19 Rz 15 u. 15a), wird sie dies ebenfalls nur tun dürfen, falls vorgängig gemahnt worden ist. Alt Art. 9 Abs. 1 Satz 1 KVV verstösst entgegen der von der Beschwerdeführerin vertretenen Auffassung ebenso wenig gegen betreibungsrechtliche Grundsätze. Zwar mag darin ein gewisser Widerspruch zur für privatrechtliche Rechtsverhältnisse geltenden Regelung erblickt werden, wonach die Mahnung einer fälligen Forderung im Rechtsöffnungsverfahren nur dann von selbstständiger Bedeutung ist, wenn Verzugszinsen im Streit stehen (Art. 102 in Verbindung mit Art. 104 Abs. 1 OR ; vgl. BGE 129 III 541 Erw. 3.2). In Frage steht indessen die öffentlichrechtliche "Zwangsversicherung" und das KVG schreibt keine analoge Anwendung des OR oder einzelner seiner Bestimmungen vor.</w:t>
      </w:r>
    </w:p>
    <w:p>
      <w:r>
        <w:rPr>
          <w:b/>
        </w:rPr>
        <w:t>E. 6.3</w:t>
      </w:r>
    </w:p>
    <w:p>
      <w:r>
        <w:t>Das Versicherungsobligatorium zeichnet sich dadurch aus, dass die versicherungspflichtige Person bei einem Versicherungsträger BGE 131 V 147 S. 152 nach Art. 11 KVG ungeachtet der persönlichen wirtschaftlichen Leistungsfähigkeit zwingend im vom Gesetzgeber näher definierten obligatorischen Umfang angeschlossen sein muss und die entsprechenden Prämien ( Art. 61 KVG ) wie auch Kostenbeteiligungen ( Art. 64 KVG ) zu tragen hat (GEBHARD EUGSTER, Krankenversicherung, in: Schweizerisches Bundesverwaltungsrecht [SBVR], Soziale Sicherheit, Rz 331 und 342). Wenn der Bundesrat mit Rücksicht auf das Versicherungsobligatorium bei fälligen Prämien oder Kostenbeteiligungen in alt Art. 9 Abs. 1 Satz 1 KVV eine Mahnung verlangt, ehe der Versicherungsträger zur Vollstreckung schreitet, ist darin insbesondere im Hinblick auf die den Kassen offen stehende Möglichkeit, sich selber im Anerkennungsprozess gemäss Art. 79 SchKG die Rechtsöffnung zu erteilen, ein vernünftiger Grund zu erblicken. Als willkürlich kann diese Bestimmung nicht bezeichnet werden, auch wenn sich die vom Bundesrat getroffene Regelung im Einzelfall ausnahmsweise als wenig zweckmässig erweisen mag, etwa wenn sich die versicherte Person aus grundsätzlichen Überlegungen von vornherein einer Prämienzahlung verweigert. Der mit einem solchen Prozedere verbundene, im Allgemeinen eher geringfügige Mehraufwand der Kassen ist hinzunehmen.</w:t>
      </w:r>
    </w:p>
    <w:p>
      <w:r>
        <w:rPr>
          <w:b/>
        </w:rPr>
        <w:t>E. 6.4</w:t>
      </w:r>
    </w:p>
    <w:p>
      <w:r>
        <w:t>Gesamthaft gesehen ist die vorgängige Mahnung gemäss alt Art. 9 Abs. 1 Satz 1 KVV durch die allgemeine, einen weiten Spielraum des Ermessens für die Regelung auf Verordnungsebene einräumende Delegationsnorm von Art. 96 KVG gedeckt. Weder fällt die Verordnungsbestimmung offensichtlich aus dem Rahmen der dem Bundesrat im Gesetz delegierten Kompetenz noch ist sie aus anderen Gründen verfassungs- oder gesetzwidrig. Dem Verordnungsgeber wäre es jedoch nicht verwehrt, die Bestimmung differenzierter auszugestalten, so dass Fälle, in denen das vorbehaltlose Mahnerfordernis von vornherein einen Leerlauf produziert, davon ausgenommen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