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12</w:t>
      </w:r>
    </w:p>
    <w:p>
      <w:r>
        <w:t>Bundesgericht (BGE), 2004-01-01, DE</w:t>
      </w:r>
    </w:p>
    <w:p>
      <w:r>
        <w:rPr>
          <w:b/>
        </w:rPr>
        <w:t xml:space="preserve">Quelle: </w:t>
      </w:r>
      <w:r>
        <w:t>https://mcp.opencaselaw.ch/entscheid/bge_BGE_131_I_12</w:t>
      </w:r>
    </w:p>
    <w:p>
      <w:r>
        <w:t>FR: ATF 131 I 12</w:t>
      </w:r>
    </w:p>
    <w:p>
      <w:r>
        <w:t>IT: DTF 131 I 12</w:t>
      </w:r>
    </w:p>
    <w:p>
      <w:pPr>
        <w:pStyle w:val="Heading2"/>
      </w:pPr>
      <w:r>
        <w:t>Regeste</w:t>
      </w:r>
    </w:p>
    <w:p>
      <w:r>
        <w:t>Regeste Art. 98 OG; Art. 26 BV; Art. 6 Ziff. 1 EMRK. Verkehrsbeschränkungen. Zulässigkeit der Verwaltungsgerichtsbeschwerde ans Bundesgericht gegen einen Rechtsmittelentscheid des Bundesrates. Streit um Verkehrsbeschränkungen als zivilrechtliche Streitigkeit? Ausnahmsweise Zulässigkeit einer vom Verfahrensrecht nicht vorgesehenen Verwaltungsgerichtsbeschwerde ans Bundesgericht (E. 1.1 und 1.2). Der Strassenanstösser kann gegen Verkehrsregelungen, die die bestimmungsgemässe Nutzung seines Grundeigentums weder verunmöglichen noch in unzumutbarer Weise erschweren, aus Art. 26 Abs. 1 BV nichts zu seinen Gunsten ableiten; Einwände dagegen sind keine zivilrechtlichen Ansprüche im Sinn von Art. 6 Ziff. 1 EMRK (E. 1.3).</w:t>
      </w:r>
    </w:p>
    <w:p>
      <w:r>
        <w:t>Regeste Art. 98 OJ; art. 26 Cst.; art. 6 par. 1 CEDH. Limitations de la circulation. Recevabilité du recours de droit administratif au Tribunal fédéral contre une décision prise, sur recours, par le Conseil fédéral. La contestation relative aux restrictions de trafic porte-t-elle sur des droits de caractère civil? Admissibilité, à titre exceptionnel, d'un recours de droit administratif au Tribunal fédéral non prévu par le droit de procédure (consid. 1.1 et 1.2). Le propriétaire riverain ne peut pas invoquer l'art. 26 al. 1 Cst. pour s'opposer à des réglementations du trafic, lorsque celles-ci ne rendent pas impossible ou ne compliquent pas à l'excès l'utilisation de son bien-fonds conforme à sa destination; la contestation soulevée à ce propos ne porte pas sur des droits de caractère civil au sens de l'art. 6 par. 1 CEDH (consid. 1.3).</w:t>
      </w:r>
    </w:p>
    <w:p>
      <w:r>
        <w:t>Regesto Art. 98 OG; art. 26 Cost.; art. 6 n. 1 CEDU. Limitazioni della circolazione. Ammissibilità del ricorso di diritto amministrativo al Tribunale federale contro una decisione, su ricorso, del Consiglio federale. La contestazione relativa a limitazioni del traffico concerne diritti di carattere civile? Ammissibilità, in via eccezionale, di un ricorso di diritto amministrativo al Tribunale federale non previsto dal diritto di procedura (consid. 1.1 e 1.2). Il proprietario confinante con la strada non può invocare l'art. 26 cpv. 1 Cost. per opporsi a regolamentazioni del traffico che non rendono impossibile né pregiudicano insostenibilmente l'utilizzo del suo fondo conforme alla destinazione dello stesso; contestazioni sollevate al proposito non riguardano pretese di carattere civile ai sensi dell'art. 6 n. 1 CEDU (consid. 1.3).</w:t>
      </w:r>
    </w:p>
    <w:p>
      <w:pPr>
        <w:pStyle w:val="Heading2"/>
      </w:pPr>
      <w:r>
        <w:t>Erwägungen</w:t>
      </w:r>
    </w:p>
    <w:p>
      <w:r>
        <w:rPr>
          <w:b/>
        </w:rPr>
        <w:t>E. 1</w:t>
      </w:r>
    </w:p>
    <w:p>
      <w:r>
        <w:t>Die Verwaltungsgerichtsbeschwerde ist, was der Beschwerdeführer nicht verkennt, gegen Rechtsmittelentscheide des Bundesrates grundsätzlich nicht gegeben ( Art. 98 OG e contrario). Er macht indessen geltend, bei der streitigen Rechtssache handle es sich um eine zivilrechtliche Angelegenheit im Sinne von Art. 6 Ziff. 1 EMRK , weshalb er gemäss BGE 125 II 420 entgegen anderslautenden verfahrensrechtlichen Bestimmungen beim Bundesgericht angefochten werden könne.</w:t>
      </w:r>
    </w:p>
    <w:p>
      <w:r>
        <w:rPr>
          <w:b/>
        </w:rPr>
        <w:t>E. 1.1</w:t>
      </w:r>
    </w:p>
    <w:p>
      <w:r>
        <w:t>Im erwähnten Urteil trat das Bundesgericht auf eine vom einschlägigen Verfahrensrecht nicht vorgesehene Verwaltungsgerichtsbeschwerde gegen einen Rechtsmittelentscheid des Bundesrates ein, um den von Art. 6 Ziff. 1 EMRK für zivilrechtliche Streitigkeiten garantierten gerichtlichen Rechtsschutz zu gewährleisten. Voraussetzung für ein derartiges Vorgehen ist, dass es sich bei der im Streit liegenden Rechtssache um eine zivilrechtliche Angelegenheit im Sinne von Art. 6 Ziff. 1 EMRK handelt.</w:t>
      </w:r>
    </w:p>
    <w:p>
      <w:r>
        <w:rPr>
          <w:b/>
        </w:rPr>
        <w:t>E. 1.2</w:t>
      </w:r>
    </w:p>
    <w:p>
      <w:r>
        <w:t>Nach der Rechtsprechung des Bundesgerichts, die sich an der Praxis der Strassburger Organe orientiert, beschränkt sich die Garantie von Art. 6 Ziff. 1 EMRK nicht auf Streitigkeiten zwischen Privaten oder zwischen Privaten und dem Staat in seiner Eigenschaft als Subjekt des Privatrechts und damit auf zivilrechtliche Streitigkeiten im engeren Sinn, sondern gilt auch für Verwaltungsakte einer hoheitlich handelnden Behörde, sofern diese massgeblich in Rechte und Verpflichtungen privatrechtlicher Natur eingreifen. Voraussetzung für die Anwendbarkeit von Art. 6 Ziff. 1 EMRK ist, dass Existenz, Inhalt, Umfang oder Art der Ausübung von aus dem innerstaatlichen Recht ableitbaren Ansprüchen oder BGE 131 I 12 S. 15 Verpflichtungen privatrechtlicher Natur im Streit liegen. Dabei wird verlangt, dass die Streitigkeit echt und ernsthafter Natur ist und deren Ausgang sich für den zivilrechtlichen Anspruch als unmittelbar entscheidend erweist; bloss weit entfernte Auswirkungen reichen nicht aus. Als zivilrechtlich gilt insbesondere eine sich im Schutzbereich der Eigentumsgarantie von Art. 26 BV abspielende Streitigkeit über die Ausübung von Eigentumsrechten. Der Anwendungsbereich von Art. 6 Ziff. 1 EMRK ist damit zwar weit, aber keineswegs schrankenlos. Die EMRK unterscheidet zwischen Zivilrechtsstreitigkeiten, für welche sie einen innerstaatlichen gerichtlichen Rechtsschutz vorschreibt, und anderen Streitigkeiten über die Verletzung materieller konventionsrechtlicher Garantien, für welche Art. 13 EMRK innerstaatlich einen Anspruch auf eine wirksame Beschwerde einräumt, welchem die Beschwerde an den Bundesrat vollauf genügt. Aus Art. 6 Ziff. 1 EMRK ist daher kein genereller Anspruch abzuleiten, wonach Rechtsstreitigkeiten unabhängig von ihrem Inhalt immer einer gerichtlichen Beurteilung unterliegen (BGE 1P.7/2004 vom 13. Oktober 2004, E. 5; BGE 123 I 25 E. 2b/dd).</w:t>
      </w:r>
    </w:p>
    <w:p>
      <w:r>
        <w:rPr>
          <w:b/>
        </w:rPr>
        <w:t>E. 1.3.1</w:t>
      </w:r>
    </w:p>
    <w:p>
      <w:r>
        <w:t>Bis vor kurzem galt nach ständiger Rechtsprechung, dass ein Strassenanstösser kein besseres Recht auf die Benützung einer im Gemeingebrauch stehenden Strasse hat als jedermann, soweit ihm das kantonale Recht - was hier nicht geltend gemacht wird - eine besondere Rechtsstellung einräumt. Der Strassenanstösser verfügte nach dieser alten Praxis nur über eine tatsächliche Vorzugsstellung und nicht auf ein unter dem Schutz der Eigentumsgarantie stehendes Recht auf Zugang und Benützung einer an sein Land angrenzenden öffentlichen Strasse. Aus diesem Grund wurde ihm die Legitimation abgesprochen, sich unter Berufung auf die Eigentumsgarantie gegen die Aufhebung oder die Einschränkung des Gemeingebrauchs der Strasse mit staatsrechtlicher Beschwerde zur Wehr zu setzen (Darstellung der Rechtsprechung in BGE 126 I 213 E. 1b/aa).</w:t>
      </w:r>
    </w:p>
    <w:p>
      <w:r>
        <w:rPr>
          <w:b/>
        </w:rPr>
        <w:t>E. 1.3.2</w:t>
      </w:r>
    </w:p>
    <w:p>
      <w:r>
        <w:t>Diese Rechtsprechung gab das Bundesgericht im erwähnten Entscheid auf. Es erkannte, dass sich der Schutzbereich der Eigentumsgarantie nicht nur auf die unmittelbar aus dem Eigentum fliessenden rechtlichen Befugnisse, sondern auch auf gewisse faktische Voraussetzungen zur Ausübung dieser Befugnisse erstrecke. Insoweit sei das Interesse an deren Erhaltung nicht bloss faktischer Natur, sondern auch rechtlich geschützt (a.a.O., E. 1b/bb, S. 215). Zu beurteilen war, ob die Aufhebung einer direkten Zufahrt von einer BGE 131 I 12 S. 16 Kantonsstrasse zu einem Tanklager einen Eingriff in die Eigentumsgarantie darstellte, obwohl die rückwärtige Erschliessung und damit die bestimmungsgemässe Nutzung des Landes erhalten blieb. Das Bundesgericht äusserte Zweifel daran, brauchte die Frage aber letztlich nicht zu entscheiden (a.a.O., E. 3a).</w:t>
      </w:r>
    </w:p>
    <w:p>
      <w:r>
        <w:rPr>
          <w:b/>
        </w:rPr>
        <w:t>E. 1.3.3</w:t>
      </w:r>
    </w:p>
    <w:p>
      <w:r>
        <w:t>Nach der mit BGE 126 I 213 vollzogenen Praxisänderung soll sich der Strassenanstösser unter Berufung auf die Eigentumsgarantie gegen ein Verkehrsregime zur Wehr setzen können, welches ihm die bestimmungsgemässe Nutzung seines Eigentums verunmöglicht oder übermässig erschwert. Das bedeutet aber auch, wie das Bundesgericht im erwähnten Entscheid bereits angedeutet hat, dass die Eigentumsgarantie den Strassenanstösser nicht vor jeder ihm lästigen Änderung des Verkehrsregimes schützt, sondern nur von einer solchen, die ihm die bestimmungsgemässe Nutzung seines Grundeigentums faktisch verunmöglicht.</w:t>
      </w:r>
    </w:p>
    <w:p>
      <w:r>
        <w:rPr>
          <w:b/>
        </w:rPr>
        <w:t>E. 1.3.4</w:t>
      </w:r>
    </w:p>
    <w:p>
      <w:r>
        <w:t>Für die Liegenschaft des Beschwerdeführers galt ab 1972 ein Nachtfahrverbot. Nach dem hier umstrittenen Verkehrsregime wird die Zufahrt zu seiner Liegenschaft für Automobile und Fahrräder grundsätzlich auf die Zeit von 05:00 bis 12:00 Uhr beschränkt; ausserhalb dieser Zeiten ist für die Zufahrt eine Ausnahmebewilligung notwendig. Dieses Verkehrsregime ist zwar einschneidend, der Beschwerdeführer legt indessen nicht dar, weshalb es für seinen Gewerbebetrieb in der Liegenschaft unabdingbar sein soll, dass er selber, seine Angestellten, seine Geschäftspartner und seine Kunden jederzeit mit dem Auto zur Liegenschaft gelangen können. Dies lässt sich auch nicht im Ernst behaupten, ist doch die Liegenschaft von verschiedenen Haltestellen des öffentlichen Verkehrs oder öffentlichen Parkierungsmöglichkeiten (z.B. dem Parkhaus Hohe Promenade) in wenigen Minuten zu Fuss erreichbar. Zudem hat der Regierungsrat in seinem Entscheid vom 4. Juli 2001 die Stadt unmissverständlich auf eine "grosszügige und flexible Handhabung der Kompetenzen bei der Erteilung von Ausnahmebewilligungen in dringlichen Fällen namentlich durch die Kontrollorgane bei den Pförtneranlagen" behaftet. Entgegen der Befürchtung des Beschwerdeführers besteht kein Grund zur Annahme, dass sich die Stadt nicht an diese verbindliche Vorgabe halten wird. Damit besteht Gewähr, dass der Beschwerdeführer bzw. seine Angestellten, Geschäftspartner oder Kunden auch in Zukunft während der Sperrzeiten zur Liegenschaft werden mit dem Auto zufahren können, sofern dies - z.B. für dringende Materialtransporte - erforderlich ist, BGE 131 I 12 S. 17 wobei nach dem Gesagten an den Bedürfnisnachweis keine hohen Anforderungen gestellt werden dürfen.</w:t>
      </w:r>
    </w:p>
    <w:p>
      <w:r>
        <w:rPr>
          <w:b/>
        </w:rPr>
        <w:t>E. 1.3.5</w:t>
      </w:r>
    </w:p>
    <w:p>
      <w:r>
        <w:t>Zusammenfassend ist somit festzuhalten, dass das umstrittene Verkehrsregime die bestimmungsgemässe Nutzung der Liegenschaft des Beschwerdeführers keineswegs verunmöglicht oder auch nur in unzumutbarer Weise erschwert. Bei der vom Bundesrat am 12. Mai 2004 letztinstanzlich entschiedenen Streitigkeit darüber handelt es sich daher um eine reine Verwaltungsangelegenheit, der Beschwerdeführer kann aus der Eigentumsgarantie von Art. 26 Abs. 1 BV daher nichts zu seinen Gunsten ableiten und hat damit auch keinen konventionsrechtlichen Anspruch auf eine gerichtliche Überprüfung des Falles. Auf die Verwaltungsgerichtsbeschwerde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