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107</w:t>
      </w:r>
    </w:p>
    <w:p>
      <w:r>
        <w:t>Bundesgericht (BGE), 2005-01-01, DE</w:t>
      </w:r>
    </w:p>
    <w:p>
      <w:r>
        <w:rPr>
          <w:b/>
        </w:rPr>
        <w:t xml:space="preserve">Quelle: </w:t>
      </w:r>
      <w:r>
        <w:t>https://mcp.opencaselaw.ch/entscheid/bge_BGE_131_IV_107</w:t>
      </w:r>
    </w:p>
    <w:p>
      <w:r>
        <w:t>FR: ATF 131 IV 107</w:t>
      </w:r>
    </w:p>
    <w:p>
      <w:r>
        <w:t>IT: DTF 131 IV 107</w:t>
      </w:r>
    </w:p>
    <w:p>
      <w:pPr>
        <w:pStyle w:val="Heading2"/>
      </w:pPr>
      <w:r>
        <w:t>Regeste</w:t>
      </w:r>
    </w:p>
    <w:p>
      <w:r>
        <w:t>Regeste Art. 189 Abs. 1 StGB; sexuelle Nötigung; unter psychischen Druck setzen mittels struktureller Gewalt. Der Tatbestand der sexuellen Nötigung setzt voraus, dass der Täter eine Zwangssituation für das Opfer schafft und nicht lediglich bestehende Machtverhältnisse ausnützt (E. 2.4).</w:t>
      </w:r>
    </w:p>
    <w:p>
      <w:r>
        <w:t>Regeste Art. 189 al.1 CP; contrainte sexuelle; action d'exercer une pression d'ordre psychique en usant de violence structurelle. L'infraction de contrainte sexuelle présuppose que l'auteur crée une situation de contrainte pour la victime et ne se limite pas à exploiter des rapports de pouvoir existants (consid. 2.4).</w:t>
      </w:r>
    </w:p>
    <w:p>
      <w:r>
        <w:t>Regesto Art. 189 cpv.1 CP; coazione sessuale; pressioni psicologiche esercitate mediante violenza strutturale. La fattispecie di coazione sessuale presuppone che l'agente crei una situazione di coercizione a danno della vittima, mentre non è sufficiente che si limiti a sfruttare rapporti di potere già esistenti (consid. 2.4).</w:t>
      </w:r>
    </w:p>
    <w:p>
      <w:pPr>
        <w:pStyle w:val="Heading2"/>
      </w:pPr>
      <w:r>
        <w:t>Erwägungen</w:t>
      </w:r>
    </w:p>
    <w:p>
      <w:r>
        <w:rPr>
          <w:b/>
        </w:rPr>
        <w:t>E. 2</w:t>
      </w:r>
    </w:p>
    <w:p>
      <w:r>
        <w:t>Wegen sexueller Nötigung ( Art. 189 Abs. 1 StGB ) wird mit Zuchthaus bis zu zehn Jahren oder mit Gefängnis bestraft, wer eine Person zur Duldung einer beischlafähnlichen oder einer anderen sexuellen Handlung nötigt, namentlich indem er sie bedroht, Gewalt anwendet, sie unter psychischen Druck setzt oder zum Widerstand unfähig macht. Der Tatbestand erfasst über seinen Wortlaut hinaus nicht nur die Nötigung zur Duldung, sondern auch zur Vornahme von sexuellen Handlungen ( BGE 127 IV 198 E. 3a/bb).</w:t>
      </w:r>
    </w:p>
    <w:p>
      <w:r>
        <w:rPr>
          <w:b/>
        </w:rPr>
        <w:t>E. 2.1</w:t>
      </w:r>
    </w:p>
    <w:p>
      <w:r>
        <w:t>Die Vorinstanz begründet die Schuldsprüche mit der Erfüllung der Tatbestandsvariante des Unter-psychischen-Druck-Setzens durch Anwendung von "struktureller Gewalt". Sie referiert ausführlich die in BGE 128 IV 97 E. 2 dargelegte Rechtsprechung. Darauf kann verwiesen werden. BGE 131 IV 107 S. 109</w:t>
      </w:r>
    </w:p>
    <w:p>
      <w:r>
        <w:rPr>
          <w:b/>
        </w:rPr>
        <w:t>E. 2.2</w:t>
      </w:r>
    </w:p>
    <w:p>
      <w:r>
        <w:t>Die sexuellen Nötigungstatbestände verbieten den Angriff auf die sexuelle Freiheit. Sie gelten als Gewaltdelikte und sind damit prinzipiell als Akte physischer Aggression zu verstehen. Dabei stellt aber die Tatbestandsvariante des Unter-psychischen-Druck-Setzens klar, dass sich die tatbestandsmässige Ausweglosigkeit der Situation auch ergeben kann, ohne dass der Täter eigentliche Gewalt anwendet. Es kann vielmehr genügen, dass dem Opfer eine Widersetzung unter solchen Umständen aus anderen Gründen nicht zuzumuten ist. Diese Umstände müssen eine Qualität erreichen, die sie in ihrer Gesamtheit als instrumentalisierte so genannte strukturelle Gewalt erscheinen lassen. Ob die tatsächlichen Verhältnisse die tatbeständlichen Anforderungen eines Nötigungsmittels erfüllen, lässt sich erst nach einer umfassenden Würdigung der konkreten Umstände entscheiden. Kognitive Unterlegenheit und emotionale wie soziale Abhängigkeit können - insbesondere bei Kindern und Jugendlichen - einen ausserordentlichen Druck erzeugen, der es ihnen verunmöglicht, sich gegen sexuelle Übergriffe zu wehren. Eine Tatbestandsmässigkeit setzt aber in jedem Fall voraus, dass unter den konkreten Umständen das Nachgeben des Kindes oder Jugendlichen verständlich erscheint. Das Ausnützen allgemeiner Abhängigkeits- oder Freundschaftsverhältnisse genügt für sich genommen in der Regel nicht, um einen relevanten psychischen Druck im Sinne von Art. 189 Abs. 1 StGB zu begründen (vgl. BGE 128 IV 97 E. 2b/aa und cc). In BGE 124 IV 154 wurde eine sexuelle Nötigung bejaht, weil ein rund zehnjähriges Kind, das in dieser Sache ohne familiären oder ausserfamiliären Halt und Schutz auf sich selbst gestellt war, aufgrund der mit der Vaterfunktion des Täters, dem Schweigeversprechen und seinen Schuldgefühlen einhergehenden Tabuisierung in eine ausweglose Situation getrieben worden war. Der Verurteilung in BGE 126 IV 124 lag zu Grunde, dass der Ehemann durch ein an Psychoterror grenzendes Drangsalieren der achtzehnjährigen, unsicheren und verletzlichen Ehefrau eine Zwangssituation geschaffen hatte. BGE 128 IV 97 bestätigte Schuldsprüche einer Lehrperson mit einer ähnlichen Begründung wie BGE 124 IV 154 sowie aufgrund des Ausgeliefertseins des Opfers. In BGE 128 IV 106 wurde eine sexuelle Nötigung im Rahmen einer therapiebedingten Abhängigkeit des erwachsenen Opfers verneint.</w:t>
      </w:r>
    </w:p>
    <w:p>
      <w:r>
        <w:rPr>
          <w:b/>
        </w:rPr>
        <w:t>E. 2.3</w:t>
      </w:r>
    </w:p>
    <w:p>
      <w:r>
        <w:t>Diese Rechtsprechung ist kritisiert worden (vgl. BGE 128 IV 97 E. 2b/bb und cc zur Kritik von GUIDO JENNY, Die strafrechtliche BGE 131 IV 107 S. 110 Rechtsprechung des Bundesgerichts im Jahre 1998, in: ZBJV 135/ 1999 S. 639 ff.). Dieser Autor hat seine Kritik erneuert und insbesondere geltend gemacht, dass eine Nötigung nicht dadurch begangen werden könne, dass der Täter den durch eine vorbestehende Inferiorität erzeugten Druck bloss ausnütze (JENNY, Die strafrechtliche Rechtsprechung des Bundesgerichts im Jahre 2000, in: ZBJV 139/2003 S. 375 f., sowie Die strafrechtliche Rechtsprechung des Bundesgerichts im Jahre 2002, in: ZBJV 140/2004 S. 726 ff.). Auch PHILIPP MAIER (Basler Kommentar, Strafgesetzbuch II, Art. 189 StGB N. 10, 20) betont, dass das blosse Ausnützen vorbestehender Verhältnisse nicht genügen könne. Der Täter müsse tatsituativ, also kurz vor oder während der sexuellen Handlung, eine Zwangssituation schaffen, die das Opfer kapitulieren lasse. Ähnlich nehmen GÜNTER STRATENWERTH/GUIDO JENNY (Schweizerisches Strafrecht, Besonderer Teil II, 6. Auflage, S. 167 Fn. 14) an, der Tatbestand setze voraus, dass der Täter den Druck erzeuge und nicht nur ausnütze. In diesem Sinne hat der Kassationshof bereits entschieden, dass das Ausnützen allgemeiner Abhängigkeits- oder Freundschaftsverhältnisse nicht genügt ( BGE 128 IV 98 E. 2b/cc mit Hinweis auf BGE 124 IV 154 E. 3c).</w:t>
      </w:r>
    </w:p>
    <w:p>
      <w:r>
        <w:rPr>
          <w:b/>
        </w:rPr>
        <w:t>E. 2.4</w:t>
      </w:r>
    </w:p>
    <w:p>
      <w:r>
        <w:t>Der Kassationshof verwendet den Begriff der strukturellen Gewalt zur Beschreibung einer der möglichen Tatvarianten der psychischen Nötigung mittels Instrumentalisierung sozialer Verhältnisse durch den Täter. Dabei setzt dieser die strukturellen (auch funktionellen oder institutionellen) Verhältnisse als Nötigungsmittel für seine sexuellen Ziele ein. Vorausgesetzt wird dabei eine "Instrumentalisierung" struktureller Gewalt, das heisst, dass die vorgefundene oder vom Täter geschaffene soziale Situation als Druckmittel eingesetzt wird. Dies ist beispielsweise der Fall, wenn der Täter - ohne physische Gewalt anzuwenden oder zu drohen - in seiner Funktion als Erzieher mit den ihm zur Verfügung stehenden Erziehungsmitteln und Machtbefugnissen das Opfer in die Enge treibt, so dass es kapitulieren muss. Das Opfer hat Angst vor der Unnachgiebigkeit oder Strenge des Erziehers oder fürchtet um den Verlust seiner Zuneigung, es sieht sich ohne dessen Hilfe für verloren oder fürchtet sich vor den Konsequenzen einer Verweigerung oder ist physisch und psychisch so erschöpft, dass es sich nicht widersetzen kann (vgl. BGE 128 IV 106 E. 3a/bb sowie JÖRG Rehberg/Niklaus Schmid/Andreas Donatsch, Strafrecht III, 8. Aufl., Zürich 2003, S. 423 f.). Hier wird das Erziehungsverhältnis als BGE 131 IV 107 S. 111 Mittel zum Zwecke der Erzwingung sexuellen Verhaltens gebraucht. Es wird daher nicht aus dem Bestand eines soziologischen Sachverhalts der strukturellen Gewalt auf die tatbestandserfüllende psychische Nötigung geschlossen bzw. diese in der blossen Ausnützung dieses Sachverhalts erblickt. Vielmehr müssen die mittels instrumentalisierter struktureller Gewalt geschaffenen tatsächlichen Verhältnisse die tatbeständlichen Anforderungen eines Nötigungsmittels erfüllen. Ob dies zutrifft, lässt sich - wie erwähnt - nur aufgrund der konkreten Umstände entscheiden ( BGE 124 IV 154 E. 3b S. 160; BGE 128 IV 97 E. 2b/aa S. 99, BGE 128 IV 106 E. 3a/bb). Die Erwägung, dass auch kognitive Unterlegenheit und emotionale wie soziale Abhängigkeit einen ausserordentlichen psychischen Druck erzeugen können ( BGE 124 IV 154 E. 2b), ist in diesem Zusammenhang und unter dem Blickwinkel des mutmasslichen Sexualstraftäters zu sehen, der diesen Druck in ein Nötigungsmittel für seine sexuelle Zielsetzung umfunktioniert. In dieser Rechtsprechung wird berücksichtigt, dass eine sexuelle Nötigung um so wirksamer ist, je empfindlicher, wehr- und hilfloser insbesondere abhängige, verletzliche oder traumatisierte Opfer einem solchen Angriff ausgesetzt sind. Es hiesse, solchen Menschen einen geringeren strafrechtlichen Schutz zuzugestehen, würde dieser besonderen Verletzlichkeit, die der Täter gerade in seinen Tatplan einbezieht, bei der Beurteilung des Vorliegens einer psychischen Nötigung nicht Rechnung getragen. Es ist aber wie bei der physischen Gewalt und Drohung immer eine erhebliche Einwirkung auf die Freiheit der sexuellen Selbstbestimmung erforderlich (vgl. BGE 128 IV 97 E. 2b/aa S. 100 f., BGE 128 IV 106 E. 3a/bb; BGE 126 IV 124 E. 3a und c; BGE 124 IV 154 E. 3b S. 160; BGE 122 IV 97 E. 2b S. 101). Der Begriff der Instrumentalisierung struktureller Gewalt darf somit nicht als Ausnützung vorbestehender gesellschaftlicher oder privater Machtverhältnisse missverstanden werden. Auf diese Gefahr weisen JENNY (a.a.O.) sowie MAIER (a.a.O., Art. 189 StGB N. 10) in ihrer Kritik hin. Die blosse Ausnützung ist keine Nötigung, und eine tatsächlich bestehende strukturelle Gewalt ist als solche noch keine zurechenbare Nötigungshandlung. Es muss für die Erfüllung des Tatbestands durch den Täter eine "tatsituative Zwangssituation" (MAIER, a.a.O., Art. 189 StGB N. 9) nachgewiesen sein. Das bedeutet nicht, dass der Täter diese jedes Mal wieder auf die gleiche Weise neu entstehen lassen muss. Es genügt, wenn BGE 131 IV 107 S. 112 das Opfer zunächst in dem ihm möglichen Rahmen Widerstand leistet und der Täter in der Folge den Zwang aktualisiert, so dass jede weitere sexuelle Ausbeutung nur aufgrund der strukturellen und aktualisierten Gewalterfahrung erfolgt (vgl. HANS WIPRÄCHTIGER, Aktuelle Praxis des Bundesgerichts zum Sexualstrafrecht, ZStrR 117/1999 S. 137 f.; MAIER, a.a.O., Art. 189 StGB N. 22).</w:t>
      </w:r>
    </w:p>
    <w:p>
      <w:r>
        <w:rPr>
          <w:b/>
        </w:rPr>
        <w:t>E. 2.5</w:t>
      </w:r>
    </w:p>
    <w:p>
      <w:r>
        <w:t>Die Vorinstanz führt aus, die Zöglinge seien aus besonderen Gründen im Heim gewesen, so dass ihr Entwicklungsstand nicht mit demjenigen von Knaben in ihrem Alter verglichen werden könne, die in geordneten Verhältnissen lebten. Der Beschwerdeführer sei Gruppenleiter und Betreuer und zum Teil die einzige Bezugsperson gewesen. Er sei als Vater (-Ersatz) wahrgenommen worden. Er habe alle mit Geld oder technischen Geräten geködert. Er habe das sexualisierte Umfeld geschaffen. Er habe sich in einer überlegenen Situation befunden. Infolge der kognitiven Unterlegenheit und Abhängigkeit in emotionaler und sozialer Hinsicht seien alle Tatbestandsvoraussetzungen von Art. 189 StGB erfüllt. Dazu weist die Vorinstanz bei jedem Opfer in wenigen Stichworten auf die wesentlichen Umstände wie emotionale Abhängigkeit und psychische Probleme hin sowie darauf, dass der Beschwerdeführer als Vaterfigur, Vorbild und Mentor wahrgenommen worden sei. Mit diesen Ausführungen zur psychischen Prädisposition und sozialen wie emotionalen Abhängigkeit beschreibt die Vorinstanz indessen nur die sozialpsychologische Situation. Die für die sexuelle Nötigung vorausgesetzte und vom Täter kausal zu erzeugende Zwangssituation lässt sich dieser Begründung nicht entnehmen. Erforderlich ist überdies, dass das Opfer die sexuellen Handlungen ablehnt und sein Widerstand durch den Täter überwunden wird. Das ist aber nicht der Fall, wenn beispielsweise C. erklärt, er sei auf das Angebot wegen des Geldes eingestiegen, er habe immer die Möglichkeit der Selbstbestimmung gehabt und der Beschwerdeführer habe ihn nicht unter Druck gesetzt. Die Vorinstanz müsste begründen, weshalb sie trotz solcher Aussagen eine Nötigung annimmt und worin diese besteht. Eine Nötigungssituation im Sinne des Unter-psychischen-Druck-Setzens mittels instrumentalisierter strukturellen Gewalt ergibt sich nicht bereits aus der Unterlegenheit und Abhängigkeit von C. vom Beschwerdeführer sowie den Stichworten "emotional abhängig - Vaterfigur und Mentor". Die weiteren Schuldsprüche wegen sexueller BGE 131 IV 107 S. 113 Nötigung sind ähnlich und damit nicht nachvollziehbar begründet, auch wenn sich hier die Aktenlage anders darstellt. Die Vorinstanz reiht nämlich eine Vielzahl von "Aktenstellen mit Hinweisen auf strukturelle Gewalt" aneinander und fügt anschliessend nur die erwähnte stichwortartige Zusammenfassung hinzu. Damit fehlt es an einer abschliessenden beweismässigen Würdigung der umfangreich wiedergegebenen Aktenstellen sowie an der Feststellung des für die Schuldsprüche vorausgesetzten massgeblichen Nötigungssachverhalts.</w:t>
      </w:r>
    </w:p>
    <w:p>
      <w:r>
        <w:rPr>
          <w:b/>
        </w:rPr>
        <w:t>E. 3</w:t>
      </w:r>
    </w:p>
    <w:p>
      <w:r>
        <w:t>Die Beschwerde ist gutzuheissen. Das angefochtene Urteil ist gemäss Art. 277 BStP aufzuheben und an die Vorinstanz zu neuer Entscheidung zurückzuweisen. Sie wird die Schuldsprüche wegen sexueller Nötigung (Ziff. II/1 lit. a-e des angefochtenen Dispositivs) und nach Massgabe dieser Beurteilung auch die insoweit angefochtene Strafzumessung (Ziff. II/4 des angefochtenen Dispositivs) neu zu beurteilen haben (vgl. zur Wirkung der Rückweisung BGE 123 IV 1 E. 1). Sie wird prüfen müssen, ob in diesen Fällen die Voraussetzungen gemäss Art. 189 StGB gegeben sind oder ob ein anderer Sexualstraftatbestand in Betracht kommt. Der Kassationshof weist gegebenenfalls von Amtes wegen auf eine Verjährungsproblematik hin (vgl. BGE 128 IV 106 E. 3e/bb). Im BGE 131 IV 83 wurde die Rechtsfigur der verjährungsrechtlichen Einheit aufgegeben. Neben den Dauerdelikten sind daher mehrere tatsächliche Handlungen nur noch unter bestimmten Voraussetzungen der tatbestandlichen und der natürlichen Handlungseinheit als Einheit zu qualifizieren. Abgesehen von diesen Konstellationen ist der Lauf der Verjährung für jede Tat gesondert zu beurteilen ( BGE 131 IV 83 E. 2.4.5). Diese Rechtsprechung wirkt sich auch auf das Sexualstrafrecht aus (vgl. BGE 120 IV 6 ). Die Vorinstanz wird deshalb bei der Neubeurteilung diese neue verjährungsrechtliche Rechtsprechung zu berücksichtigen haben. Auf die in der Sache nicht angefochtenen Schuldsprüche hat sie indessen auch unter verjährungsrechtlichen Gesichtspunkten nicht zurückzukommen.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