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65</w:t>
      </w:r>
    </w:p>
    <w:p>
      <w:r>
        <w:t>Bundesgericht (BGE), 2004-12-01, DE</w:t>
      </w:r>
    </w:p>
    <w:p>
      <w:r>
        <w:rPr>
          <w:b/>
        </w:rPr>
        <w:t xml:space="preserve">Quelle: </w:t>
      </w:r>
      <w:r>
        <w:t>https://mcp.opencaselaw.ch/entscheid/bge_BGE_131_II_65</w:t>
      </w:r>
    </w:p>
    <w:p>
      <w:r>
        <w:t>FR: ATF 131 II 65</w:t>
      </w:r>
    </w:p>
    <w:p>
      <w:r>
        <w:t>IT: DTF 131 II 65</w:t>
      </w:r>
    </w:p>
    <w:p>
      <w:pPr>
        <w:pStyle w:val="Heading2"/>
      </w:pPr>
      <w:r>
        <w:t>Regeste</w:t>
      </w:r>
    </w:p>
    <w:p>
      <w:r>
        <w:t>Regeste Art. 41 Abs. 1 und 2 EntG; Verwirkung nachträglicher Entschädigungsforderungen; Voraussetzungen. Enteignungsrechtliche Entschädigungsforderungen unterliegen nicht der Verwirkung, wenn auf diese Folge nicht aufmerksam gemacht worden ist (E. 1.1) oder wenn die enteigneten Rechte offenkundig und daher auch ohne Anmeldung zu schätzen sind (E. 1.2). Die Verwirkung ist nicht von Amtes wegen zu berücksichtigen, wenn der Enteigner auf eine entsprechende Einrede ausdrücklich verzichtet oder eine solche treuwidrig wäre (E. 1.3). Gibt der Enteigner im Zusammenhang mit dem Ausbau seines Werkes dem Gesuch eines Hauseigentümers um Aufnahme eines Rissprotokolls statt und zeigt dieses eine Zunahme der Rissbildung auf, so darf der Gesuchsteller darauf vertrauen, dass der Enteigner mit ihm in Entschädigungsverhandlungen trete (E. 2). Es kann vom Gesuchsteller nicht verlangt werden, dass er den Kausalzusammenhang zwischen den Gebäudeschäden und den Bauarbeiten des Enteigners nachweise (E. 3).</w:t>
      </w:r>
    </w:p>
    <w:p>
      <w:r>
        <w:t>Regeste Art. 41 al. 1 et 2 LEx; péremption de prétentions produites postérieurement; conditions. Les prétentions à une indemnité fondée sur le droit de l'expropriation ne sont pas soumises à péremption quand l'exproprié n'a pas été rendu attentif à ce risque (consid. 1.1) ou lorsque les droits sont notoires, partant qu'ils doivent être estimés même s'ils n'ont pas fait l'objet d'une production (consid. 1.2). La péremption ne doit pas être prise en considération d'office quand l'expropriant a expressément renoncé à pareille objection, ou s'il est contraire à la bonne foi de la faire valoir (consid. 1.3). Dans un cas où l'expropriant, en relation avec la construction de son ouvrage, accède à la requête du propriétaire d'une maison tendant à ce qu'un relevé des fissures du bâtiment soit effectué, et quand ce relevé montre une augmentation de la formation de fissures, l'auteur de la requête peut compter sur le fait que l'expropriant prendra l'initiative de pourparlers au sujet de l'indemnité (consid. 2). On ne saurait exiger de l'auteur de la requête qu'il prouve le rapport de causalité entre les travaux de construction de l'expropriant et les dommages à son bâtiment (consid. 3).</w:t>
      </w:r>
    </w:p>
    <w:p>
      <w:r>
        <w:t>Regesto Art. 41 cpv. 1 e 2 LEspr; perenzione delle pretese d'indennità presentate successivamente; presupposti. Le pretese d'indennità espropriative non soggiacciono alla perenzione quando l'espropriato non è stato reso attento a questa conseguenza (consid. 1.1) o quando i diritti espropriati sono notori e quindi da stimare anche se non notificati (consid. 1.2). La perenzione non è da considerare d'ufficio quando l'espropriante ha esplicitamente rinunciato a prevalersene o quando la sua invocazione sia contraria alla buona fede (consid. 1.3). Quando l'espropriante, in relazione alla costruzione della sua opera, dà seguito a una richiesta del proprietario di una casa volta al rilevamento delle crepe esistenti e risulti in seguito un loro aumento, il richiedente può contare sul fatto che l'espropriante avvierà trattative d'indennizzo (consid. 2). Non può essere preteso dal richiedente che provi l'esistenza del nesso causale tra i lavori di costruzione dell'espropriante e i danni dell'edificio (consid. 3).</w:t>
      </w:r>
    </w:p>
    <w:p>
      <w:pPr>
        <w:pStyle w:val="Heading2"/>
      </w:pPr>
      <w:r>
        <w:t>Erwägungen</w:t>
      </w:r>
    </w:p>
    <w:p>
      <w:r>
        <w:rPr>
          <w:b/>
        </w:rPr>
        <w:t>E. 1</w:t>
      </w:r>
    </w:p>
    <w:p>
      <w:r>
        <w:t>Im angefochtenen Entscheid hat die Eidgenössische Schätzungskommission von Amtes wegen festgestellt, dass die von der Enteigneten angemeldete Entschädigungsforderung aufgrund von Art. 41 des Bundesgesetzes über die Enteignung vom 20. Juni 1930 (EntG; SR 711) verwirkt sei. Gemäss Art. 41 Abs. 1 lit. b EntG können Entschädigungsforderungen nach Ablauf der Eingabefrist unter anderem dann noch geltend gemacht werden, wenn sich eine nicht vorherzusehende Schädigung erst beim Bau oder nach Erstellung des Werkes oder als Folge seines Gebrauchs einstellt. Solche nachträglichen Entschädigungsforderungen gelten nach Art. 41 Abs. 2 lit. b EntG grundsätzlich als verwirkt, falls sie nicht binnen sechs Monaten beim Präsidenten der Eidgenössischen Schätzungskommission oder bei einer anderen Behörde angemeldet werden (vgl. Art. 21 Abs. 2 VwVG ; BGE 113 Ib 34 E. 3). Die Verwirkung tritt jedoch nicht in jedem Falle ein und ist nach bundesgerichtlicher Praxis auch nicht ausnahmslos von Amtes wegen zu beachten:</w:t>
      </w:r>
    </w:p>
    <w:p>
      <w:r>
        <w:rPr>
          <w:b/>
        </w:rPr>
        <w:t>E. 1.1</w:t>
      </w:r>
    </w:p>
    <w:p>
      <w:r>
        <w:t>In formeller Hinsicht wird für die Verwirkung eines Entschädigungsanspruchs vorausgesetzt, dass die Verwirkungsfolge den Enteigneten angedroht worden ist. Die Entschädigungsberechtigten sind daher durch öffentliche Bekanntmachung und/oder persönliche Anzeige, soweit sie Anspruch auf eine solche haben ( Art. 31 Abs. 1 EntG ), ausdrücklich auf die Bestimmung von Art. 41 EntG aufmerksam zu machen (vgl. Art. 30 Abs. 1 lit. c, Art. 31 ff. EntG ). Hat in der fraglichen Gemeinde keine öffentliche Planauflage mit entsprechender Bekanntmachung stattgefunden oder ist dem Enteigneten keine persönliche Anzeige zugegangen, so unterliegen die nachträglichen Entschädigungsansprüche nicht der Verwirkung gemäss Art. 41 Abs. 2 EntG , sondern der Verjährung (vgl. BGE 131 II 65 S. 69 BGE 105 Ib 6 ; BGE 116 Ib 11 E. 2b/ee S. 19; BGE 120 Ib 76 E. 5a S. 87 f.; s.a. BGE 130 II 394 E. 11 S. 414).</w:t>
      </w:r>
    </w:p>
    <w:p>
      <w:r>
        <w:rPr>
          <w:b/>
        </w:rPr>
        <w:t>E. 1.2</w:t>
      </w:r>
    </w:p>
    <w:p>
      <w:r>
        <w:t>Gemäss Art. 38 EntG sind die enteigneten Rechte, soweit sie sich aus der Grunderwerbstabelle ergeben oder offenkundig sind, von der Schätzungskommission auch ohne Anmeldung zu schätzen. Diese Regelung gilt ebenfalls in den durch das Bundesgesetz vom 18. Juni 1999 über die Koordination und Vereinfachung von Entscheidverfahren revidierten spezialrechtlichen Plangenehmigungsverfahren, die mit einem Enteignungsverfahren verbunden sind (so ausdrücklich in Art. 39 Abs. 2 des Bundesgesetzes vom 8. März 1960 über die Nationalstrassen in der Fassung vom 18. Juni 1999). Der Enteigner kann daher hinsichtlich der Rechte, die ihm bekannt sein müssen, keinen Vorteil aus der Säumnis eines Enteigneten ziehen (vgl. BGE 116 Ib 386 E. 3d/bb S. 394).</w:t>
      </w:r>
    </w:p>
    <w:p>
      <w:r>
        <w:rPr>
          <w:b/>
        </w:rPr>
        <w:t>E. 1.3</w:t>
      </w:r>
    </w:p>
    <w:p>
      <w:r>
        <w:t>Nach bundesgerichtlicher Rechtsprechung ist beim Entscheid über die Verwirkung öffentlichrechtlicher Ansprüche zwar von den allgemeinen (privatrechtlichen) Prinzipien auszugehen, gleichzeitig aber in Betracht zu ziehen, welches der Zweck der vom Gesetzgeber auf dem fraglichen Rechtsgebiet getroffenen Verwirkungsregelung sei ( BGE 116 Ib 386 E. 3c/bb S. 393 in fine). Da der Zweck der in Art. 41 EntG vorgesehenen Verwirkung in erster Linie darin liegt, den Enteigner vor nachträglichen Entschädigungsforderungen zu schützen, welche er nicht erwarten musste und die sich in unvorhergesehener Weise auf die Kosten seines Werks auswirken könnten, braucht jedenfalls die Verwirkung dann nicht von Amtes wegen berücksichtigt zu werden, wenn der Enteigner selbst von ihr absehen will. In diesem Sinne hat das Bundesgericht die Frage der Rechtzeitigkeit der Forderungsanmeldung offen gelassen, nachdem der Enteigner ausdrücklich darauf verzichtet hatte, sich auf die Verwirkung zu berufen (Urteil i.S. S. vom 29. März 1990). Weiter ist stets betont worden, dass die Verwirkung nicht von Amtes wegen beachtet werden dürfe, wenn die entsprechende Einrede als rechtsmissbräuchlich bzw. unvereinbar mit dem Gebot von Treu und Glauben erschiene. Dies gilt vor allem dann, wenn der Enteignete durch das Verhalten des Enteigners von einer rechtzeitigen Anmeldung seiner Begehren abgehalten wird, so etwa, wenn der Enteignete aufgrund von Verhandlungen mit dem Enteigner zur Annahme berechtigt ist, dieser trete auf seine Ansprüche ein ( BGE 106 Ib 235 E. 2b S 235 mit Hinweisen; BGE 111 Ib 280 E. 3a S. 284; BGE 113 Ib 34 E. 3 S. 38; BGE 116 Ib 386 E. 3c/bb S. 393). BGE 131 II 65 S. 70</w:t>
      </w:r>
    </w:p>
    <w:p>
      <w:r>
        <w:rPr>
          <w:b/>
        </w:rPr>
        <w:t>E. 2</w:t>
      </w:r>
    </w:p>
    <w:p>
      <w:r>
        <w:t>Für den vorliegenden Fall ergibt sich aus diesen Grundsätzen Folgendes:</w:t>
      </w:r>
    </w:p>
    <w:p>
      <w:r>
        <w:rPr>
          <w:b/>
        </w:rPr>
        <w:t>E. 2.1</w:t>
      </w:r>
    </w:p>
    <w:p>
      <w:r>
        <w:t>Den eingereichten Akten lässt sich entnehmen, dass in der Gemeinde Thalwil für das Tunnelbauprojekt eine öffentliche Planauflage stattgefunden hat. Es darf davon ausgegangen werden, dass die Planauflage mit den nötigen Bekanntmachungen und Hinweisen auf die Rechtsfolgen im Sinne von Art. 30 Abs. 1 lit. c EntG verbunden war. Die Bestimmungen von Art. 41 EntG sind daher grundsätzlich anwendbar.</w:t>
      </w:r>
    </w:p>
    <w:p>
      <w:r>
        <w:rPr>
          <w:b/>
        </w:rPr>
        <w:t>E. 2.2</w:t>
      </w:r>
    </w:p>
    <w:p>
      <w:r>
        <w:t>Aus den Akten ergibt sich ebenfalls, dass seinerzeit nicht vorgesehen war, ein Rissprotokoll für die hier umstrittene Liegenschaft zu erstellen. Der damalige Eigentümer und Rechtsvorgänger der Beschwerdeführerin hat jedoch die SBB um eine solche Rissaufnahme ersucht. Er wies darauf hin, dass die Zufahrt zur Baustelle für den im Tagbau zu erstellenden Tunnel u.a. über die Z.-Strasse führen werde und mit beträchtlichem Werkverkehr sowie umfangreichen Materialtransporten zu rechnen sei; zudem würden in der Nähe seiner Liegenschaft schwere Baumaschinen eingesetzt, die Vibrationen erzeugten. Die SBB haben dem Gesuch des Grundeigentümers stattgegeben und die verlangten Beweissicherungsmassnahmen treffen lassen. Es fragt sich, ob mit der Anordnung dieser vorsorglichen Beweiserhebung nicht bereits eine Situation geschaffen wurde, in welcher der Grundeigentümer von einer Fortsetzung der Verhandlungen mit der Enteignerin ausgehen durfte. Jedenfalls aber hat die Beschwerdeführerin nach Zustellung des abschliessenden Rissprotokolls, das eine Zunahme der Risse zeigt, ohne weiteres erwarten dürfen, dass die SBB zur Festlegung oder Bestreitung der Entschädigungspflicht mit ihr Kontakt aufnehmen würden. Dass die Beschwerdeführerin erst etwas unternommen hat, nachdem sie längere Zeit ohne Nachricht von der Enteignerin geblieben war, kann ihr daher nicht als Säumnis vorgeworfen werden. Im Übrigen hat die Enteignerin vor der Schätzungskommission die Verwirkung nie angerufen und - wie in einer Aktennotiz festgehalten ist - gegenüber dem Präsidenten sogar erklärt, es wäre wohl stossend, diese Einrede nachträglich zu erheben. Ob darin ein ausdrücklicher Verzicht auf die Verwirkungseinrede erblickt werden könnte, kann offen bleiben, da die Beschwerdeführerin wie dargelegt darauf vertrauen durfte, die Enteignerin trete auf die durch das Rissprotokoll belegten Entschädigungsansprüche ein. Der angefochtene Entscheid, mit dem die Verwirkung der Entschädigungsforderung festgestellt worden ist, ist daher aufzuheben. BGE 131 II 65 S. 71</w:t>
      </w:r>
    </w:p>
    <w:p>
      <w:r>
        <w:rPr>
          <w:b/>
        </w:rPr>
        <w:t>E. 3</w:t>
      </w:r>
    </w:p>
    <w:p>
      <w:r>
        <w:t>Die Schätzungskommission hat das Entschädigungsbegehren der Beschwerdeführerin nicht nur für verwirkt, sondern auch für unbegründet erklärt, weil die Enteignete den Kausalzusammenhang zwischen den Bauarbeiten der SBB und den zusätzlichen Rissen an ihrem Haus nicht nachgewiesen bzw. nicht dargelegt habe, wie dieser Zusammenhang nachzuweisen sei. Auch in dieser Hinsicht vermag der angefochtene Entscheid nicht zu überzeugen. Es kann von einem Laien nicht verlangt werden, den - schwierigen - Beweis dafür zu erbringen, dass die Rissbildung an einem Gebäude auf die Bauarbeiten oder den Werkverkehr des Enteigners zurückzuführen sei. Ebenso wenig kann vom Enteigneten erwartet werden, dass er einen Experten mit Abklärungen betraue, sind doch in den Schätzungskommissionen selbst die nötigen Fachleute vertreten oder können solche zusätzlich beigezogen werden (vgl. Art. 40 und Art. 49 der Verordnung vom 24. April 1972 für die eidgenössischen Schätzungskommissionen [SR 711.1] ; BGE 109 Ib 26 E. 3 S. 35 f.). Die Fachrichter der Schätzungskommission haben hier denn auch festgestellt, dass aufgrund der von der Enteignerin vorgelegten Erschütterungsmessungen nicht geschlossen werden könne, die Risse seien zwingend auf andere Ursachen als die Bauarbeiten zurückzuführen. Im Übrigen ist von Seiten der Enteignerin erwogen worden, gewisse Schäden am Gebäude wären wohl ohnehin entstanden, könnten aber möglicherweise infolge der Erschütterungseinwirkungen früher eingetreten sein. Die Enteignerin schliesst somit eine raschere Alterung der Fassaden selbst nicht aus, für welche sie grundsätzlich einzustehen hat (vgl. sinngemäss Urteil 1E.14/1994 vom 31. Dezember 1996, E. 7). Die Sache ist demnach zu zusätzlicher Beweiserhebung an die Schätzungskommission zurückzuweisen. Könnte übrigens der Kausalzusammenhang zwischen Bauarbeiten und Gebäudeschäden weder nachgewiesen noch völlig ausgeschlossen werden, fiele auch die Möglichkeit in Betracht, der Enteigneten einen nach Billigkeitsüberlegungen festzusetzenden Beitrag zur Schadensbehebung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