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627</w:t>
      </w:r>
    </w:p>
    <w:p>
      <w:r>
        <w:t>Bundesgericht (BGE), 2005-01-01, FR</w:t>
      </w:r>
    </w:p>
    <w:p>
      <w:r>
        <w:rPr>
          <w:b/>
        </w:rPr>
        <w:t xml:space="preserve">Quelle: </w:t>
      </w:r>
      <w:r>
        <w:t>https://mcp.opencaselaw.ch/entscheid/bge_BGE_131_II_627</w:t>
      </w:r>
    </w:p>
    <w:p>
      <w:r>
        <w:t>FR: ATF 131 II 627</w:t>
      </w:r>
    </w:p>
    <w:p>
      <w:r>
        <w:t>IT: DTF 131 II 627</w:t>
      </w:r>
    </w:p>
    <w:p>
      <w:pPr>
        <w:pStyle w:val="Heading2"/>
      </w:pPr>
      <w:r>
        <w:t>Regeste</w:t>
      </w:r>
    </w:p>
    <w:p>
      <w:r>
        <w:t>Regeste Art. 9 BV; Art. 30c, 81 Abs. 2 und 83a Abs. 1 und 5 BVG; Art. 33 Abs. 1 lit. d DBG; berufliche Vorsorge; Einkauf in eine Vorsorgeeinrichtung für fehlende Versicherungsjahre; Steuerumgehung; Schutz des guten Glaubens. Ein Vertrag über ergänzende berufliche Vorsorge verletzt das Versicherungsprinzip, wenn er im Invaliditätsfall bloss die Befreiung von der Prämienpflicht anbietet. Bei dieser Ausgangslage ist der Rückkauf von Versicherungsjahren nicht im Sinne von Art. 33 Abs. 1 lit. d DBG von den Einkünften abziehbar. Keine Gesamtbetrachtung von Grundversicherung und ergänzender Versicherung (E. 4 und 5.1). Beim Einkauf in eine Vorsorgeeinrichtung für fehlende Versicherungsjahre liegt eine Steuerumgehung vor, wenn fünf Tage später derselbe Betrag als Vorbezug für Familien-Wohneigentum im Sinne von Art. 30c BVG beansprucht wird (E. 5.2). Vorliegend kein Gutglaubensschutz, insbesondere nicht im Zusammenhang mit Auskünften des Versicherers (E. 6).</w:t>
      </w:r>
    </w:p>
    <w:p>
      <w:r>
        <w:t>Regeste Art. 9 Cst.; Art. 30c, 81 al. 2 et 83a al. 1 et 5 LPP; art. 33 al. 1 let. d LIFD; prévoyance professionnelle; rachat d'années d'assurance dans une institution de prévoyance professionnelle; évasion fiscale; protection de la bonne foi. Un contrat de prévoyance complémentaire viole le principe d'assurance, s'il n'offre que la libération du service des primes en cas d'invalidité. Le rachat d'années de cotisations dans cette hypothèse n'est pas déductible au sens de l'art. 33 al. 1 let. d LIFD. Pas d'examen consolidé des contrats de base et complémentaire (consid. 4 et 5.1). Le rachat d'années de cotisations suivi du prélèvement dans les cinq jours suivants d'un montant équivalent à celui du rachat pour l'acquisition d'un logement familial au sens de l'art. 30c LPP constitue une évasion fiscale (consid. 5.2). Pas de protection de la bonne foi en l'espèce, en particulier pour des renseignements fiscaux donnés par l'assureur (consid. 6).</w:t>
      </w:r>
    </w:p>
    <w:p>
      <w:r>
        <w:t>Regesto Art. 9 Cost.; art. 30c, 81 cpv. 2 e 83a cpv. 1 e 5 LPP; art. 33 cpv. 1 lett. d LIFD; previdenza professionale; acquisto di anni d'assicurazione in un istituto di previdenza professionale; evasione fiscale; tutela della buona fede. Un contratto di previdenza complementare viola il principio d'assicurazione se in caso d'invalidità non offre che l'esenzione dal versamento dei premi. In questa ipotesi, l'acquisto di anni di contribuzione non è deducibile ai sensi dell'art. 33 cpv. 1 lett. d LIFD. Il contratto complementare non va esaminato congiuntamente con quello di base (consid. 4 e 5.1). L'acquisto di anni di contribuzione seguito entro cinque giorni dal prelievo di un importo equivalente per l'acquisizione di un'abitazione familiare ai sensi dell'art. 30c LPP costituisce un'evasione fiscale (consid. 5.2). Nella fattispecie non vi è alcuna tutela della buona fede, in particolare per ragguagli fiscali forniti dall'assicuratore (consid. 6).</w:t>
      </w:r>
    </w:p>
    <w:p>
      <w:pPr>
        <w:pStyle w:val="Heading2"/>
      </w:pPr>
      <w:r>
        <w:t>Erwägungen</w:t>
      </w:r>
    </w:p>
    <w:p>
      <w:r>
        <w:rPr>
          <w:b/>
        </w:rPr>
        <w:t>E. 4.1</w:t>
      </w:r>
    </w:p>
    <w:p>
      <w:r>
        <w:t>Conformément à l'art. 4 al. 1 de la loi fédérale du 25 juin 1982 sur la prévoyance professionnelle vieillesse, survivants et invalidité (LPP; RS 831.40), les indépendants qui ne sont pas soumis à l'assurance obligatoire peuvent se faire assurer à titre facultatif. Ils peuvent se faire assurer auprès de l'institution de prévoyance qui assure leurs salariés ou dont ils relèvent à raison de leur profession, ou, s'ils n'ont pas accès à une institution de prévoyance, auprès de l'institution supplétive ( art. 44 LPP ; cf. Archives 57 p. 282). Les dispositions sur l'assurance obligatoire, en particulier les limites de revenu fixées à l'article 8 LPP, s'appliquent par analogie à l'assurance facultative ( art. 4 al. 2 LPP ). Dans la mesure où les statuts ou les règlements le prévoient expressément, les indépendants peuvent également verser en sus des contributions ordinaires au fonds de prévoyance, des contributions extraordinaires uniques dans le but de racheter des années de cotisation. Le rachat d'années d'assurance sert en premier lieu à l'amélioration des prestations d'assurance légales ou réglementaires dues par les institutions de prévoyance au moment de la survenance du risque assuré (HANS-ULRICH STAUFFER, Berufliche Vorsorge, Schulthess 2005, n° 1757, p. 653). Tant le financement que la mise en oeuvre de la prévoyance obligatoire et surobligatoire doivent être fixés à l'avance dans les statuts et les règlements selon des critères schématiques et objectifs et respecter, en particulier, les principes d'adéquation, de collectivité (solidarité), d'égalité de traitement, de planification ainsi que d'assurance ( ATF 120 Ib 199 consid. 3d p. 204). En vertu du principe de collectivité, un indépendant ne peut contracter une assurance de prévoyance surobligatoire que s'il a contracté également une assurance de prévoyance obligatoire (arrêt du Tribunal fédéral 2P.127/2001 du 21 décembre 2001, publié in StR 57/ 2002 p. 388). L'inverse n'est en revanche pas vrai. BGE 131 II 627 S. 633</w:t>
      </w:r>
    </w:p>
    <w:p>
      <w:r>
        <w:rPr>
          <w:b/>
        </w:rPr>
        <w:t>E. 4.2</w:t>
      </w:r>
    </w:p>
    <w:p>
      <w:r>
        <w:t>Les cotisations que les indépendants versent à des institutions de prévoyance conformément à la loi ou aux dispositions réglementaires sont déductibles des impôts directs de la Confédération, des cantons et des communes ( art. 81 al. 2 LPP ). Cette disposition a été reprise par l' art. 33 al. 1 let . d LIFD (RS 642.11) selon lequel les primes, cotisations et montants légaux, statutaires ou réglementaires versés à des institutions de la prévoyance professionnelle sont déduits du revenu. Les déductions autorisées par cet article valent pour les versements périodiques et les versements uniques pour le rachat d'années d'assurance, qu'ils soient effectués dans le domaine de la prévoyance obligatoire ou de la prévoyance surobligatoire. Toutefois, les contributions de l'assuré pour le rachat d'années d'assurance ne sont déductibles que pour autant que les prestations de vieillesse commencent à courir ou deviennent exigibles après le 31 décembre 2001 ( art. 205 LIFD ). Cette limite ne concerne pas la présente cause. Le recourant n'atteindra l'âge de la retraite que le 1 er août 2023. Introduit par la loi fédérale du 19 mars 1999 sur le programme de stabilisation 1998 (RO 1999 p. 2385) entrée en vigueur au 1 er janvier 2001, l' art. 79a al. 1 et 2 LPP prévoit que, pour tous les rapports de prévoyance, qu'elle soit inscrite au registre de la prévoyance professionnelle ou non, l'institution de prévoyance peut autoriser l'assuré à racheter les prestations réglementaires jusqu'à concurrence du montant supérieur fixé à l' art. 8 al. 1 LPP , multiplié par le nombre d'années entre l'entrée dans l'institution et l'âge réglementaire de la retraite. Ce rachat correspond à la différence entre la prestation d'entrée nécessaire et la prestation d'entrée disponible ( art. 79a al. 3 LPP ). Cette limite s'applique au rachat effectué lors de l'entrée de l'assuré dans l'institution de prévoyance ou ultérieurement ( art. 79a al. 4 LPP ). Il n'est pas contesté que le rachat litigieux reste en dessous de la limite fixée par l' art. 79a LPP .</w:t>
      </w:r>
    </w:p>
    <w:p>
      <w:r>
        <w:rPr>
          <w:b/>
        </w:rPr>
        <w:t>E. 4.3</w:t>
      </w:r>
    </w:p>
    <w:p>
      <w:r>
        <w:t>Depuis l'entrée en vigueur le 1 er janvier 1995 de la loi fédérale du 17 décembre 1993 sur l'encouragement à la propriété du logement au moyen de la prévoyance professionnelle (RO 1994 p. 2372), l'assuré peut, au plus tard trois ans avant la naissance du droit aux prestations de vieillesse, faire valoir auprès de son institution de prévoyance le droit au versement d'un montant pour la propriété d'un logement pour ses propres besoins ( art. 30c LPP ). L'ordonnance du Conseil fédéral du 3 octobre 1994 sur l'encouragement à la propriété du logement au moyen de la prévoyance BGE 131 II 627 S. 634 professionnelle (OEPL; RS 831.411) règle les détails. Le versement anticipé, notamment, doit être assujetti à l'impôt direct fédéral, cantonal et communal en tant que prestation en capital provenant de la prévoyance ( art. 83a al. 1 et 5 LPP ). Il est dans tous les cas soumis à un impôt annuel entier calculé sur la base de taux représentant le cinquième des barèmes inscrits à l' art. 36 LIFD (art. 22 al. 1 et 2 ainsi que 38 al. 1 et 2 LIFD).</w:t>
      </w:r>
    </w:p>
    <w:p>
      <w:r>
        <w:rPr>
          <w:b/>
        </w:rPr>
        <w:t>E. 4.4</w:t>
      </w:r>
    </w:p>
    <w:p>
      <w:r>
        <w:t>Le Tribunal fédéral a précisé que seules les institutions qui ont pour but la prévoyance professionnelle collective entrent dans la notion d'"institution de la prévoyance professionnelle" de l' art. 33 al. 1 let . d LIFD. La prévoyance professionnelle - obligatoire et complémentaire - est donc soumise aux principes de collectivité, de solidarité, de planification, d'adéquation, d'égalité de traitement et d'assurance, à la différence de la prévoyance individuelle du 3 e pilier a ( ATF 120 Ib 199 consid. 3c p. 202). Ces principes ont été repris dans la 1 re révision de la LPP (art. 1 al. 3 qui entrera en vigueur le 1 er janvier 2006, RO 2004 p. 1677, 1700). En particulier, examinant un contrat d'assurance surobligatoire de la Fondation pour la prévoyance complémentaire Y., comme celui en cause en l'espèce, le Tribunal fédéral a jugé que les cotisations versées par l'employeur n'étaient pas déductibles du bénéfice imposable. En effet, l'aménagement des rapports entre la fondation et l'assuré n'atteignait pas le but de la prévoyance professionnelle notamment pour les cas d'invalidité. La seule libération du service des primes en cas d'invalidité n'était pas une couverture suffisante. Il a par conséquent constaté une violation du principe d'assurance (arrêt du Tribunal fédéral 2A.11/2000 du 26 février 2001, publié in Archives 71 p. 384, consid. 3 ainsi que RDAF 2001 II p. 490; StE 1998 B 72.14.2 n° 21). Ecartant les arguments de la doctrine qui plaidait en faveur d'une "vision consolidée" incluant le deuxième pilier A dans l'examen du respect du principe d'assurance par les polices d'assurances complémentaires sous forme de pure épargne, le Tribunal fédéral a jugé que chaque contrat de prévoyance professionnelle doit respecter pour lui-même les principes qui régissent la prévoyance (arrêt 2A.408/2002 du 13 février 2004, consid. 2.3 et 2.4 et les références citées).</w:t>
      </w:r>
    </w:p>
    <w:p>
      <w:r>
        <w:rPr>
          <w:b/>
        </w:rPr>
        <w:t>E. 5.1</w:t>
      </w:r>
    </w:p>
    <w:p>
      <w:r>
        <w:t>En l'espèce, le recourant ne conteste pas à juste titre que le contrat n° y de prévoyance complémentaire ne garantit en cas BGE 131 II 627 S. 635 d'invalidité que la libération du service des primes et, sous ce seul angle par conséquent, viole le principe d'assurance. En revanche, il reproche au Tribunal cantonal d'avoir ignoré que son assureur aurait opté en connaissance de cause pour un contrat "en deux faces", l'une des faces couvrant très précisément le risque d'invalidité. Cette objection méconnaît la jurisprudence selon laquelle les contrats d'assurance pour la prévoyance complémentaire, notamment des indépendants, doivent respecter les principes qui régissent la prévoyance professionnelle, en particulier le principe d'assurance. En l'espèce, comme l'a déjà jugé le Tribunal fédéral, le contrat n° y ne respecte pas le principe d'assurance. C'est en vain que le recourant tente de tirer argument des promesses faites par son assureur et du traitement qui a été ultérieurement réservé aux rachats dans la convention sur les effets accessoires de son divorce du 15 mars 2004. L'assureur, parce qu'il n'y est pas habilité, et la convention de divorce, qui portait sur d'autres aspects de la prévoyance, ne lient pas les autorités fiscales. Enfin, contrairement aux allégations du recourant, le rachat litigieux a bien eu pour cadre le contrat n° y et non pas le contrat d'assurance obligatoire de base, comme le démontre le numéro de contrat écrit sur l'attestation officielle concernant les cotisations de prévoyance remplies par la fondation en date du 13 novembre 2000. Par conséquent, en considérant que la police n° y n'offre pas une couverture d'assurance invalidité suffisante et en refusant la déduction du montant du rachat d'années d'assurance dans ce contexte, le Tribunal cantonal n'a pas violé le droit fédéral. Pour ce motif déjà, le recours doit être rejeté. Il doit l'être également pour le motif qui suit.</w:t>
      </w:r>
    </w:p>
    <w:p>
      <w:r>
        <w:rPr>
          <w:b/>
        </w:rPr>
        <w:t>E. 5.2</w:t>
      </w:r>
    </w:p>
    <w:p>
      <w:r>
        <w:t>Le recours doit également être rejeté parce que le procédé choisi par le recourant constitue une évasion fiscale. Selon la jurisprudence,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Si ces trois conditions sont remplies, l'imposition doit être BGE 131 II 627 S. 636 fondée non pas sur la forme choisie par le contribuable, mais sur la situation qui aurait dû être l'expression appropriée au but économique poursuivi par les intéressés (RF 59/2004 p. 127, consid. 4.1; StE 2001 A 12 n os</w:t>
      </w:r>
    </w:p>
    <w:p>
      <w:r>
        <w:rPr>
          <w:b/>
        </w:rPr>
        <w:t>E. 10</w:t>
      </w:r>
    </w:p>
    <w:p>
      <w:r>
        <w:t>et 11; Archives 66 p. 406, consid. 5c; 64 p. 80, consid. 3b). Le rachat d'années de cotisations pour la prévoyance professionnelle d'un montant de 430'000 fr. le 8 novembre 2000 et le prélèvement du même montant le 13 novembre 2000 est insolite et ne peut s'expliquer que par la volonté du recourant de réaliser une notable économie d'impôts. La déduction de 215'000 fr. par année de calcul devait en effet permettre de réduire le revenu moyen du recourant de 245'298 fr. à 30'298 fr. Quant à la prestation en capital provenant du versement anticipé de l'avoir de prévoyance aux fins d'acquisition du logement de famille, elle est certes bien soumise à un impôt annuel entier mais uniquement à un taux correspondant au cinquième des taux ordinaires de l' art. 36 LIFD . Le procédé choisi par le recourant détourne le but d'un rachat d'années de cotisations destiné à constituer une prévoyance professionnelle (cf. Conférence suisse des impôts, Groupe de travail prévoyance, Prévoyance et impôts, Cosmos, Berne 2002, cas n° A.3.1.11 et les références aux décisions cantonales concordantes). Le montant du rachat - en réalité les fonds propres du recourant - devait être payé directement aux vendeurs de l'immeuble acquis le 7 septembre 2000. Les conditions d'une évasion fiscale étant réunies, le recours doit être écarté pour ce motif également. 6. Le recourant se prévaut encore de la protection de la bonne foi, en faisant valoir qu'en automne 2000, il avait complètement informé l'autorité fiscale compétente sur ses intentions et lui avait fourni des renseignements clairs et précis sur le contrat de prévoyance conclu par l'étude d'avocats. Il expose aussi que la législation et la jurisprudence n'ont pas été modifiées entre le 27 mars 2002 et le 3 avril 2002. 6.1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ATF 128 II 112 consid. 10b/aa p. 125; BGE 131 II 627 S. 637 ATF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129 I 161 consid. 4.1 p. 170; ATF 122 II 113 consid. 3b/cc p. 123 et les références citées).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 ATF 118 Ib 312 consid. 3b p. 316; cf. JEAN-MARC RIVIER, Droit fiscal suisse, 2 e éd., Lausanne 1998, p. 132; ERNST BLUMENSTEIN/ PETER LOCHER, System des Steuerrechts, 6 e éd., Zurich 2002, p. 28 et les nombreuses références). 6.2 Il est établi que le recourant a exposé par écrit le 25 septembre 2000 au Service cantonal des contributions qu'il avait l'intention d'acquérir une maison familiale avec 430'000 fr. de fonds propres dont 400'000 fr. seraient d'abord utilisés pour racheter des années de prévoyance puis utilisés pour le financement du logement familial. Ce courrier était adressé à l'autorité compétente en matière fiscale pour le canton du Valais. Quand bien même le Service cantonal des contributions était bien l'autorité compétente pour répondre à une demande du recourant en matière fiscale, ce dernier ne saurait bénéficier du droit à la protection de la bonne foi. En l'espèce, le Service cantonal des contributions n'a donné aucune assurance au recourant, comme l'a relevé à juste titre le Tribunal cantonal. L'existence de discussions avec le Service cantonal des contributions, sans confirmation écrite alors qu'une telle confirmation était sollicitée par le recourant lui-même dans son BGE 131 II 627 S. 638 courrier du 25 septembre 2000, n'a pas valeur décisive. Le Tribunal cantonal a d'ailleurs constaté, sans être contredit sur ce point par le recourant, que les discussions avaient porté non pas sur le contenu du courrier du 25 septembre mais sur l'éventualité d'un rachat sur plusieurs années. Par conséquent, en refusant de protéger la bonne foi du recourant pour ce motif déjà, le Tribunal cantonal n'a pas violé le droit fédéral. Le recourant tente sans succès de tirer parti des pourparlers qu'il aurait menés avec les assureurs de Y.: ceux-ci ne sont évidemment pas habilités à fournir des assurances sur le régime fiscal de ses contrats qui lieraient les autorités fiscales. Contrairement à ce que prétend l'Administration fédérale des contributions d'ailleurs, l'art. 1 al. 4 de l'ordonnance du 13 novembre 1985 sur les déductions admises fiscalement pour les cotisations versées à des formes reconnues de prévoyance (OPP 3; RS 831.461.3) n'est d'aucun secours en l'espèce puisqu'il ne concerne que les contrats de prévoyance liée (3 e pilier a) et la compétence de cette dernière de se prononcer sur leur validité (cf. ATF 124 II 383 ). Au surplus, le recourant ne saurait arguer de dispositions qu'il aurait prises en raison d'une éventuelle promesse de l'autorité compétente et dont il ne pourrait se départir sans subir de préjudice. En effet, il a acheté le logement familial le 7 septembre 2000 déjà. Or, ce n'est qu'ensuite qu'il a écrit au Service cantonal des contributions pour obtenir son avis sur l'opération qu'il disait envisager mais qu'il avait en réalité déjà exécutée. Il a également signé le contrat de prévoyance n° y avant d'avoir reçu la réponse du Service cantonal des contributions. Il ne saurait reprocher aux autorités cantonales une violation de sa bonne foi. On ne saurait non plus voir une telle violation dans le comportement des autorités fiscales cantonales qui ont varié dans les motifs à l'appui de leurs décisions respectives. Le grief de violation de la protection de la bonne foi se confond en effet avec celui de la violation du droit d'être entendu.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