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616</w:t>
      </w:r>
    </w:p>
    <w:p>
      <w:r>
        <w:t>Bundesgericht (BGE), 2005-08-05, DE</w:t>
      </w:r>
    </w:p>
    <w:p>
      <w:r>
        <w:rPr>
          <w:b/>
        </w:rPr>
        <w:t xml:space="preserve">Quelle: </w:t>
      </w:r>
      <w:r>
        <w:t>https://mcp.opencaselaw.ch/entscheid/bge_BGE_131_II_616</w:t>
      </w:r>
    </w:p>
    <w:p>
      <w:r>
        <w:t>FR: ATF 131 II 616</w:t>
      </w:r>
    </w:p>
    <w:p>
      <w:r>
        <w:t>IT: DTF 131 II 616</w:t>
      </w:r>
    </w:p>
    <w:p>
      <w:pPr>
        <w:pStyle w:val="Heading2"/>
      </w:pPr>
      <w:r>
        <w:t>Regeste</w:t>
      </w:r>
    </w:p>
    <w:p>
      <w:r>
        <w:t>Regeste Schutz vor dem Lärm einer neuen Strasse; räumliche Geltung der Planungswerte (Art. 25 USG; Art. 39 und 41 LSV); Erleichterungen (Art. 25 Abs. 3 USG; Art. 10 LSV); vorsorgliche emissionsbegrenzende Massnahmen (Art. 11 Abs. 2 USG). Ist ein Grundstück bereits überbaut, müssen die Planungswerte in den bestehenden lärmempfindlichen Räumen eingehalten werden (Art. 41 Abs. 1 i.V.m. Art. 39 Abs. 1 LSV); nach Bau- und Planungsrecht mögliche Nutzungsreserven werden - anders als bei unüberbauten Grundstücken (Art. 41 Abs. 2 lit. a i.V.m. Art. 39 Abs. 3 LSV) - grundsätzlich nicht berücksichtigt (E. 3.4.2). Diese unterschiedliche Regelung für überbaute und nicht überbaute Grundstücke hält vor dem Rechtsgleichheitsgebot stand (E. 3.4.3). Prüfung der Zulässigkeit der erteilten Erleichterungen (E. 4) sowie der Möglichkeit weiterer vorsorglicher emissionsbegrenzender Massnahmen (E. 5).</w:t>
      </w:r>
    </w:p>
    <w:p>
      <w:r>
        <w:t>Regeste Protection contre le bruit d'une nouvelle route; application quant au lieu des valeurs de planification (art. 25 LPE; art. 39 et 41 OPB); allégements (art. 25 al. 3 LPE; art. 10 OPB); mesures préventives de limitation des émissions (art. 11 al. 2 LPE). Lorsqu'un terrain est déjà construit, les valeurs de planification doivent être respectées dans les locaux à usage sensible au bruit existants (art. 41 al. 1 en relation avec l'art. 39 al. 1 OPB); contrairement à ce qui vaut pour les bien-fonds pas encore bâtis, les réserves d'utilisation possibles d'après le droit des constructions et de l'aménagement du territoire ne sont en principe pas prises en considération (art. 41 al. 2 let. a en relation avec l'art. 39 al. 3 OPB; consid. 3.4.2). Cette réglementation différente pour les terrains construits et non construits est conforme au principe de l'égalité de traitement (consid. 3.4.3). Examen de l'admissibilité des allégements accordés (consid. 4) ainsi que de la possibilité de mesures préventives supplémentaires de limitation des émissions (consid. 5).</w:t>
      </w:r>
    </w:p>
    <w:p>
      <w:r>
        <w:t>Regesto Protezione contro il rumore di una nuova strada; validità sotto il profilo spaziale dei valori di pianificazione (art. 25 LPAmb; art. 39 e 41 OIF); facilitazioni (art. 25 cpv. 3 LPAmb; art. 10 OIF); misure preventive di limitazione delle emissioni (art. 11 cpv. 2 LPAmb). Quando un fondo è già edificato, i valori di pianificazione devono essere rispettati nei locali sensibili al rumore esistenti (art. 41 cpv. 1 in relazione con l'art. 39 cpv. 1 OIF); diversamente da quanto vale per i fondi non ancora edificati (art. 41 cpv. 2 lett. a in relazione con l'art. 39 cpv. 3 OIF), le rimanenti facoltà edificatorie possibili secondo il diritto edilizio e della pianificazione del territorio non sono di principio prese in considerazione (consid. 3.4.2). Questa diversa regolamentazione per i fondi edificati e per quelli non ancora edificati è conforme al principio della parità di trattamento (consid. 3.4.3). Esame dell'ammissibilità delle facilitazioni accordate (consid. 4) e della possibilità di ulteriori misure preventive di limitazione delle emissioni (consid. 5).</w:t>
      </w:r>
    </w:p>
    <w:p>
      <w:pPr>
        <w:pStyle w:val="Heading2"/>
      </w:pPr>
      <w:r>
        <w:t>Erwägungen</w:t>
      </w:r>
    </w:p>
    <w:p>
      <w:r>
        <w:rPr>
          <w:b/>
        </w:rPr>
        <w:t>E. 3</w:t>
      </w:r>
    </w:p>
    <w:p>
      <w:r>
        <w:t>In noch nicht überbauten Bauzonen werden die Lärmimmissionen dort ermittelt, wo nach dem Bau- und Planungsrecht Gebäude mit lärmempfindlichen Räumen erstellt werden dürfen.</w:t>
      </w:r>
    </w:p>
    <w:p>
      <w:r>
        <w:rPr>
          <w:b/>
        </w:rPr>
        <w:t>E. 3.1</w:t>
      </w:r>
    </w:p>
    <w:p>
      <w:r>
        <w:t>Die Parzelle der Beschwerdeführerin wurde für das Strassenplanverfahren der Empfindlichkeitsstufe II zugeordnet; dies entspricht der provisorischen Zuordnung des Gebiets im hängigen Zonenplanrevisionsverfahren der Gemeinde Visp. Massgeblich ist somit für den Strassenverkehrslärm tagsüber ein Planungswert von 55 dB(A) (Anhang 3 LSV Ziff. 2). Nach der insoweit unbestrittenen Lärmbeurteilung vom 9. März 2004 (Tabelle 7 S. 11), werden die Lärmimmissionen der Strasse (unter Berücksichtigung des geplanten lärmarmen Strassenbelags und einer 2 m hohen Lärmschutzmauer im Abstand von 5 m zur Strassenachse) an den BGE 131 II 616 S. 619 Fenstern des bestehenden Einfamilienhauses der Beschwerdeführerin tagsüber 47.7 dB(A) betragen. Damit wird der Planungswert für den Tag eingehalten. Die Einhaltung des Planungswerts für die Nacht ist aufgrund des Strassentyps und der Art der Verkehrsbelastung unproblematisch.</w:t>
      </w:r>
    </w:p>
    <w:p>
      <w:r>
        <w:rPr>
          <w:b/>
        </w:rPr>
        <w:t>E. 3.2</w:t>
      </w:r>
    </w:p>
    <w:p>
      <w:r>
        <w:t>Die Beschwerdeführerin rügt, die Lärmbeurteilung sei nur für einen Empfangspunkt von 1.5 m über dem Boden durchgeführt worden. Diese Berechnungsweise berücksichtige nicht, dass die Parzelle gemäss Baureglement bis zu einer maximalen Höhe von 14.5 m überbaut werden könnte. Hinsichtlich dieser nicht ausgeschöpften Nutzungsreserven müsse die Parzelle einem unüberbauten Grundstück in der Bauzone gleichgestellt werden, d.h. die Lärmimmissionen müssten überall dort ermittelt werden, wo nach dem Bau- und Planungsrecht Gebäude mit lärmempfindlichen Räumen erstellt werden dürfen (Art. 41 Abs. 2 lit. a i.V.m. Art. 39 Abs. 3 LSV ). Somit hätten Berechnungen auch für höher gelegene Empfangspunkte erstellt werden müssen. Dies hätte voraussichtlich zu einer massiven Überschreitung des Planungswerts geführt. Das Verwaltungsgericht wie auch das BUWAL vertreten die Auffassung, dass auf überbauten Parzellen, wie derjenigen der Beschwerdeführerin, der Planungswert nur an den offenen Fenstern der bestehenden lärmempfindlichen Räume eingehalten werden müsse; nach Bau- und Planungsrecht mögliche Ausbau- und Umnutzungsmöglichkeiten seien nicht zu berücksichtigen. Sie stützen sich hierfür auf Art. 41 Abs. 1 i.V.m. Art. 39 Abs. 1 LSV . Die von der Beschwerdeführerin sowie dem Verwaltungsgericht und dem BUWAL angerufenen Bestimmungen der LSV lauten: Art. 41 Geltung der Belastungsgrenzwerte 1 Die Belastungsgrenzwerte gelten bei Gebäuden mit lärmempfindlichen Räumen. 2 Sie gelten ausserdem: a in noch nicht überbauten Bauzonen dort, wo nach dem Bau- und Planungsrecht Gebäude mit lärmempfindlichen Räumen erstellt werden dürfen; (...) Art. 39 Ort der Ermittlung 1 Bei Gebäuden werden die Lärmimmissionen in der Mitte der offenen Fenster lärmempfindlicher Räume ermittelt. Fluglärmimmissionen können auch in der Nähe der Gebäude ermittelt werden. 2 (...) BGE 131 II 616 S. 620</w:t>
      </w:r>
    </w:p>
    <w:p>
      <w:r>
        <w:rPr>
          <w:b/>
        </w:rPr>
        <w:t>E. 3.3</w:t>
      </w:r>
    </w:p>
    <w:p>
      <w:r>
        <w:t>Die Beschwerdeführerin will, dass ihr Grundstück, hinsichtlich der noch nicht realisierten Nutzungsreserven, wie ein unüberbautes Grundstück in einer Bauzone behandelt wird, d.h. die Lärmimmissionen entsprechend Art. 41 Abs. 2 lit. a und Art. 39 Abs. 3 LSV ermittelt werden. Voraussetzung hierfür wäre zunächst, dass das Grundstück in einer "Bauzone" liegt. Dies ist vorab zu prüfen. Zwar ist die Parzelle nach dem geltenden Zonenplan der Gemeinde Visp der Wohnzone (W4) zugeteilt. Wie oben (Sachverhalt) dargelegt worden ist, stammt dieser Zonenplan jedoch im Wesentlichen aus der Zeit vor Inkrafttreten des RPG und enthält weder Landwirtschafts- noch Schutzzonen. Insofern kann nicht davon ausgegangen werden, dass die geltende Zonenplanung insgesamt nach den Zonenkriterien der Art. 14 ff. RPG und aufgrund einer gesamthaften Abwägung und Abstimmung aller räumlich wesentlichen Gesichtspunkte vorgenommen worden ist. Dann aber sind die darin vorgesehenen Bauzonen mit Ablauf der Übergangsfrist von Art. 35 Abs. 1 lit. b RPG am 1. Januar 1988 ausser Kraft getreten; als vorläufige Bauzone gilt gemäss Art. 36 Abs. 3 RPG nur noch das weitgehend überbaute Gebiet. Immerhin ist anzunehmen, dass die Parzelle der Beschwerdeführerin, die mit einem Einfamilienhaus überbaut ist und von weiteren Einfamilienhäusern umgeben ist, im weitgehend überbauten Gebiet und damit in einer - wenn auch vorläufigen - Bauzone liegt. Hinzu kommt, dass die Parzelle in der hängigen Zonenplanrevision wiederum der Wohnzone zugewiesen werden soll. Gemäss Art. 25a Abs. 4 RPG ist die vorliegende Strassenplanung mit der hängigen Zonenplanrevision zu koordinieren. Insofern erscheint es sachgerecht, für die lärmschutzrechtliche Beurteilung auf die Vorgaben des neuen Zonenplans abzustellen. Aus den Akten ergibt sich allerdings nicht, welche Bauvorschriften für die neue Wohnzone gelten sollen (Geschosszahl, Gebäudehöhe, Grenzabstände, etc.). Die Verfahrensbeteiligten gehen davon aus, dass es bei den bisher geltenden Bestimmungen (Wohnzone W4, mit einer maximalen Gebäudehöhe von 14.5 m, einem grossen Grenzabstand von 12 und einem kleinen Grenzabstand von 5 m) bleiben werde. Dies erscheint plausibel. BGE 131 II 616 S. 621</w:t>
      </w:r>
    </w:p>
    <w:p>
      <w:r>
        <w:rPr>
          <w:b/>
        </w:rPr>
        <w:t>E. 3.4</w:t>
      </w:r>
    </w:p>
    <w:p>
      <w:r>
        <w:t>Liegt die Parzelle gegenwärtig und auch nach der geplanten Zonenplanrevision in einer Bauzone, ist zu prüfen, an welchen Orten der Planungswert eingehalten werden muss - nur in den lärmempfindlichen Räumen des bestehenden Einfamilienhauses oder auch an allen Orten, an denen nach dem Bau- und Planungsrecht lärmempfindliche Räume erstellt werden dürfen.</w:t>
      </w:r>
    </w:p>
    <w:p>
      <w:r>
        <w:rPr>
          <w:b/>
        </w:rPr>
        <w:t>E. 3.4.1</w:t>
      </w:r>
    </w:p>
    <w:p>
      <w:r>
        <w:t>In BGE 126 II 480 E. 5a S. 488 ist das Bundesgericht - allerdings ohne nähere Begründung - davon ausgegangen, dass für überbaute Parzellen nur die tatsächlich vorhandenen lärmempfindlichen Räume massgeblich sind. Es hielt daher Lärmmessungen im Garten des Beschwerdeführers nicht für erforderlich, auch wenn darin theoretisch eine neue Baute errichtet werden könnte. Die immissionsschutzrechtliche Behandlung von Nutzungsreserven wurde in BGE 128 II 340 mit Blick auf den Schutz vor nichtionisierender Strahlung thematisiert. Das Bundesgericht entschied, dass die Anlagegrenzwerte der Verordnung vom 23. Dezember 1999 über den Schutz vor nichtionisierender Strahlung (NISV; SR 814.710) auf überbauten Grundstücken nur an den tatsächlich vorhandenen Orten mit empfindlicher Nutzung einzuhalten seien; allerdings müsse sichergestellt werden, dass die Antennenanlagen jeweils angepasst werden, um die Anlagegrenzwerte auch nach der Realisierung von Nutzungsreserven an den neu entstehenden Orten mit empfindlichen Nutzungen einzuhalten (vgl. auch Urteil 1A.194/ 2001 vom 10. September 2002, publ. in: URP 2002 S. 780).</w:t>
      </w:r>
    </w:p>
    <w:p>
      <w:r>
        <w:rPr>
          <w:b/>
        </w:rPr>
        <w:t>E. 3.4.2</w:t>
      </w:r>
    </w:p>
    <w:p>
      <w:r>
        <w:t>Ausgangspunkt der lärmschutzrechtlichen Beurteilung ist Art. 25 USG . Dieser bestimmt, dass die Planungswerte "in der Umgebung" der neuen Anlage eingehalten werden müssen. Was unter "Umgebung" zu verstehen ist, hat der Bundesrat in den Art. 41 und 39 LSV konkretisiert, welche die (räumliche) Geltung der Belastungsgrenzwerte und den sich daraus ergebenden Ort der Ermittlung von Lärmimmissionen regeln. Diese Bestimmungen unterscheiden zwischen "Gebäuden" ( Art. 41 Abs. 1 und Art. 39 Abs. 1 LSV ) und "noch nicht überbauten Bauzonen" ( Art. 41 Abs. 2 lit. a und Art. 39 Abs. 3 LSV ): Ist ein Grundstück überbaut, d.h. besteht bereits ein Gebäude, so gelten die Belastungsgrenzwerte in den lärmempfindlichen Räumen i.S.v. Art. 2 Abs. 6 LSV ( Art. 41 Abs. 1 LSV ); dabei werden die Messwerte grundsätzlich in der Mitte der offenen Fenster der Räume ermittelt ( Art. 39 Abs. 1 LSV ; so auch ROBERT WOLF, BGE 131 II 616 S. 622 USGKommentar, N. 58 zu Art. 25 USG ). Abgestellt wird somit auf die tatsächlich bestehenden lärmempfindlichen Räume eines Gebäudes, ohne Rücksicht darauf, ob eine andere Anordnung oder Nutzung der Räume möglich oder eine Erweiterung oder Aufstockung des bestehenden Gebäudes bau- und planungsrechtlich zulässig wäre. Aus- und Umbauprojekte sind nach Art. 36 Abs. 2 LSV nur zu berücksichtigen, wenn entsprechende Projekte bereits bewilligt oder öffentlich aufgelegt worden sind. Ist das Grundstück dagegen noch nicht überbaut, bestehen noch keine lärmempfindlichen Räume. Um diese Grundstücke nicht schutzlos zu lassen und ihre künftige Überbauung nicht zu verunmöglichen, bestimmt Art. 41 Abs. 2 lit. a i.V.m. Art. 39 Abs. 3 LSV , dass die Planungswerte an den Orten und auf der Höhe aller Stockwerke eingehalten werden müssen, an welchen nach den Bauvorschriften der betreffenden Zone Gebäude mit lärmempfindlichen Räumen erstellt werden dürfen (WOLF, USG-Kommentar, a.a.O.). Aufgrund dieser Bestimmungen des Verordnungsrechts sind somit Nutzungsreserven auf bereits überbauten Grundstücken nicht zu berücksichtigen, d.h. sie gehören nicht zur "Umgebung" i.S.v. Art. 25 USG .</w:t>
      </w:r>
    </w:p>
    <w:p>
      <w:r>
        <w:rPr>
          <w:b/>
        </w:rPr>
        <w:t>E. 3.4.3</w:t>
      </w:r>
    </w:p>
    <w:p>
      <w:r>
        <w:t>Die Beschwerdeführerin hält diese Regelung für rechtswidrig: Sie benachteilige die Eigentümer unternutzter Grundstücke massiv im Vergleich zu Eigentümern unüberbauter Grundstücke und verletze somit das Rechtsgleichheitsgebot ( Art. 8 BV ). In der Tat werden nach der oben geschilderten Regelung die Nutzungsmöglichkeiten unüberbauter Grundstücke umfassend, die Nutzungsreserven bereits überbauter Grundstücke dagegen nicht berücksichtigt. Dies führt zu Unterschieden hinsichtlich der weiteren baulichen Nutzung der Grundstücke und der Lärmbelastung neu ersteller lärmempfindlicher Räume: Wird ein bisher nicht überbautes Grundstück neu überbaut und werden dabei lärmempfindliche Räume erstellt, können die nach Bau- und Zonenordnung zulässigen baulichen Nutzungsmöglichkeiten mit Blick auf den Lärm ganz ausgeschöpft werden. Der Planungswert kommt (sofern der lärmigen Anlage zuvor keine Erleichterungen gewährt worden sind) voll zum Tragen. Zusätzliche Lärmschutzmassnahmen i.S.v. Art. 22 Abs. 2 USG sind nicht erforderlich. BGE 131 II 616 S. 623 Wird dagegen ein bereits bestehendes Gebäude umgebaut, erweitert oder ersetzt, ist die Einhaltung der Planungswerte in den neu entstehenden lärmempfindlichen Räumen unter Umständen, je nach dem, wie das Bauprojekt ausgestaltet ist, nicht gewährleistet. Gemäss Art. 22 USG und 31 LSV dürfen Neubauten und wesentliche Änderungen von Gebäuden mit lärmempfindlichen Räumen nur bewilligt werden, wenn der Immissionsgrenzwert eingehalten wird. Die Kosten für die dafür notwendigen baulichen oder gestalterischen Massnahmen trägt der Grundeigentümer und nicht der Inhaber der lärmigen Anlage ( Art. 31 Abs. 3 LSV ). In diesem Punkt unterscheidet sich die Rechtslage im Bereich des Lärmschutzes von derjenigen gemäss NISV: Während der Betreiber einer Antennenanlage den massgeblichen Anlagegrenzwert jederzeit, und zwar auch an nachträglich errichteten Orten mit empfindlicher Nutzung, einhalten muss und hierfür notfalls seine Anlage ändern oder gar stilllegen muss (vgl. dazu BGE 128 II 340 E. 2-5 S. 343 ff.), muss eine bestehende lärmige Anlage (z.B. eine Strasse) den Planungswert nur in den zum Zeitpunkt ihrer Bewilligung bereits vorhandenen (bzw. bewilligten oder öffentlich aufgelegten) lärmempfindlichen Räumen einhalten. Für später errichtete Räume muss sie nicht nachträglich, zur Einhaltung des Planungswertes, mit zusätzlichen Lärmschutzmassnahmen nachgerüstet werden. Ist bereits der Immissionsgrenzwert überschritten, dürfen neue lärmempfindliche Räume nicht mehr bewilligt werden, es sei denn, der Bauwillige sorgt - auf seine Kosten - für die notwendigen zusätzlichen Schallschutzmassnahmen bzw. die zweckmässige Anordnung der Räume ( Art. 22 Abs. 2 USG ; BGE 120 Ib 76 E. 3d S. 83). Der Beschwerdeführerin ist einzuräumen, dass diese unterschiedliche Behandlung von Nutzungsreserven bei überbauten und nicht überbauten Grundstücken nicht völlig befriedigt. Die unterschiedliche Behandlung lässt sich aber mit der Überlegung rechtfertigen, dass die planungsrechtlich mögliche Überbauung noch unüberbauter Grundstücke in aller Regel auch realisiert wird, während bei bestehenden Bauten von einem längerfristigen Bestand auszugehen ist (so auch Urteil 1A.194/2001 vom 10. September 2002, a.a.O., E. 2.1.4 zu Art. 3 Abs. 3 NISV ). Eine generelle Verpflichtung zur Einhaltung des Planungswertes nicht nur an den tatsächlich vorhandenen, sondern auch an allen BGE 131 II 616 S. 624 hypothetischen, nach der Bau- und Zonenordnung möglichen lärmempfindlichen Räumen im überbauten Gebiet, würde die Realisierung zahlreicher, im öffentlichen Interesse liegender Bauvorhaben verunmöglichen oder jedenfalls enorm verteuern, und dies zum Schutz von hypothetischen Nutzungen, deren Realisierung ungewiss ist. Eine solche Regelung wäre in vielen Fällen unverhältnismässig und würde dazu führen, dass die Gewährung von Erleichterungen nach Art. 25 Abs. 2 USG von der Ausnahme zur Regel würde. In der Praxis wird das unterschiedliche Regime für überbaute und nicht überbaute Grundstücke dadurch relativiert, dass für letztere häufiger Erleichterungen erteilt werden als für erstere. Dies illustriert der vorliegende Fall: Erleichterungen wurden nur für unüberbaute Grundstücke gewährt; im streitigen Strassenabschnitt für diejenigen unüberbauten Grundstücke, an denen der Planungswert oberhalb von 1.5 m nicht eingehalten werden kann; im Strassenabschnitt nordwestlich des Kreisels Lonza oberhalb von 4 m. Auch für diese, bisher nicht überbauten, Grundstücke können somit höher gelegene Stockwerke nur bewilligt werden, wenn die lärmempfindlichen Räume auf der dem Lärm abgewandten Seite angeordnet werden (vgl. unten, E. 4.2). Die Eigentümer dieser nicht überbauten Parzellen sind deshalb im Ergebnis nicht besser gestellt als die Eigentümer bereits überbauter, aber nicht vollständig ausgenutzter Parzellen.</w:t>
      </w:r>
    </w:p>
    <w:p>
      <w:r>
        <w:rPr>
          <w:b/>
        </w:rPr>
        <w:t>E. 3.4.4</w:t>
      </w:r>
    </w:p>
    <w:p>
      <w:r>
        <w:t>Nach dem Gesagten erweist sich die von der Verordnung getroffene Auslegung von Art. 25 USG als rechtmässig. Von ihr ist daher grundsätzlich auszugehen. Vorbehalten bleibt eine andere Beurteilung in gewissen vom gesetzlichen Regelfall abweichenden Sonderfällen, wie z.B. bei Abbruchobjekten (vgl. BGE 128 II 340 E. 4.1 und Urteil 1A.194/2001, a.a.O., E. 2.1.6).</w:t>
      </w:r>
    </w:p>
    <w:p>
      <w:r>
        <w:rPr>
          <w:b/>
        </w:rPr>
        <w:t>E. 3.5</w:t>
      </w:r>
    </w:p>
    <w:p>
      <w:r>
        <w:t>Die kantonalen Instanzen haben deshalb zu Recht entschieden, dass die projektierte Strasse mit der vorgesehenen Lärmschutzmauer von 2 m Höhe den Planungswert auf dem Grundstück der Beschwerdeführerin einhält.</w:t>
      </w:r>
    </w:p>
    <w:p>
      <w:r>
        <w:rPr>
          <w:b/>
        </w:rPr>
        <w:t>E. 4</w:t>
      </w:r>
    </w:p>
    <w:p>
      <w:r>
        <w:t>Die Beschwerdeführerin rügt weiter, der Planungswert werde auf dem unüberbauten Grundstück Nr. 480 nicht eingehalten; hier werde in den (fiktiven) oberen Geschossen sogar der Immissionsgrenzwert überschritten. Die hierfür gewährte Erleichterung verstosse gegen Art. 7 Abs. 2 LSV . BGE 131 II 616 S. 625</w:t>
      </w:r>
    </w:p>
    <w:p>
      <w:r>
        <w:rPr>
          <w:b/>
        </w:rPr>
        <w:t>E. 4.1</w:t>
      </w:r>
    </w:p>
    <w:p>
      <w:r>
        <w:t>Fraglich ist, ob die Beschwerdeführerin zu dieser Rüge legitimiert ist. Immerhin lässt sich argumentieren, dass die Parzelle Nr. 480 nicht allzu weit von derjenigen der Beschwerdeführerin entfernt ist, weshalb eine Erhöhung der Lärmschutzmauer zur Einhaltung der Grenzwerte auf der Parzelle Nr. 480 vermutlich auch ihr zugute kommen würde. Die Frage kann jedoch offen bleiben, wenn sich die Beschwerde in diesem Punkt als unbegründet erweist.</w:t>
      </w:r>
    </w:p>
    <w:p>
      <w:r>
        <w:rPr>
          <w:b/>
        </w:rPr>
        <w:t>E. 4.2</w:t>
      </w:r>
    </w:p>
    <w:p>
      <w:r>
        <w:t>Entgegen der Auffassung der Beschwerdeführerin ist die Gewährung von Erleichterungen über den Immissionsgrenzwert hinaus nicht von vornherein bundesrechtswidrig: Art. 25 Abs. 3 USG und Art. 10 LSV lassen für die Errichtung von Strassen, Flughäfen, Eisenbahnanlagen und anderen öffentlichen oder konzessionierten ortsfesten Anlagen derartige Erleichterungen zu. Allerdings dürfen Erleichterungen über den Immissionsgrenzwert hinaus nur ausnahmsweise erteilt werden, und es sind strenge Anforderungen an das öffentliche Interesse und die Ausschöpfung aller emissionsbegrenzenden Massnahmen zu stellen (vgl. BGE 116 Ib 159 E. 6a und 7 S. 164 ff.). In der Lärmbeurteilung, die dem Staatsratsentscheid zu Grunde liegt, wird ausgeführt, dass durch die projektierte Lärmschutzmauer von 2 m Höhe der Planungswert nur im (fiktiven) Erdgeschoss der unüberbauten Parzelle Nr. 480 eingehalten werden könne; um den Planungswert an allen Empfangspunkten einhalten zu können, wäre eine Lärmschutzmauer von 5.5 m Höhe notwendig. Aus Gründen des Ortsbildschutzes und der Tatsache, dass die Parzelle noch nicht überbaut sei, sei davon abzusehen und es sei mittels entsprechender Bauzonenvorschriften dafür zu sorgen, dass die lärmempfindlichen Räume der oberen Etagen im Süden und Westen des Gebäudes angeordnet werden und zur Strasse hin (Osten) lärmunempfindliche Nutzungseinheiten (Küche, Treppenhaus, Liftschacht, Badezimmer, Toiletten, etc.) angeordnet werden. Die Gewährung von Erleichterungen nach Art. 25 Abs. 3 USG bedeutet somit im vorliegenden Fall nicht, dass Menschen schädlichem oder lästigem Strassenverkehrslärm ausgesetzt werden, sondern schränkt lediglich die Überbauungsmöglichkeiten des Grundstücks ein. Dies erscheint im vorliegenden Fall zumutbar: Der Planungswert wird zumindest im Erdgeschoss eingehalten, so dass die Parzelle ohne Weiteres mit einem Einfamilienhaus überbaut werden BGE 131 II 616 S. 626 kann. Auch eine höhergeschossige Überbauung bleibt möglich, wenn auch mit gewissen Einschränkungen hinsichtlich der Anordnung der Räume. Diese Einschränkungen können in der laufenden Zonenplanrevision präzisiert werden.</w:t>
      </w:r>
    </w:p>
    <w:p>
      <w:r>
        <w:rPr>
          <w:b/>
        </w:rPr>
        <w:t>E. 5</w:t>
      </w:r>
    </w:p>
    <w:p>
      <w:r>
        <w:t>Zu prüfen bleibt, ob es vorsorgliche emissionsbegrenzende Massnahmen gibt, die technisch und betrieblich möglich sowie wirtschaftlich tragbar sind ( Art. 7 Abs. 1 lit. a LSV ; Art. 11 Abs. 2 USG ).</w:t>
      </w:r>
    </w:p>
    <w:p>
      <w:r>
        <w:rPr>
          <w:b/>
        </w:rPr>
        <w:t>E. 5.1</w:t>
      </w:r>
    </w:p>
    <w:p>
      <w:r>
        <w:t>Das Verwaltungsgericht hat unter dem Aspekt der vorsorglichen Lärmbegrenzung eine Verlängerung der vorgesehenen Lärmschutzwand um ca. 20 m von der Parzelle der Beschwerdeführerin bis zu den Garagen auf der Parzelle Nr. 1574 angeordnet, da dies relativ geringe zusätzliche Kosten von ca. Fr. 25'000.- verursache und nicht nur die Parzelle der Beschwerdeführerin, sondern auch den nicht überbauten Teil des Grundstücks Nr. 1574 mit einer Breite von fast 30 m vom Verkehrslärm abschirme. Weitere Massnahmen, insbesondere eine Erhöhung der Lärmschutzwand auf 4 m Höhe, hielt das Verwaltungsgericht dagegen für unverhältnismässig. Diese Erwägungen sind nicht zu beanstanden. Eine Erhöhung der Lärmschutzmauer auf 4 m würde nicht unerhebliche Mehrkosten verursachen, zumal die Erhöhung vermutlich nicht nur auf dem die Parzelle der Beschwerdeführerin betreffenden Stück, sondern auf der ganzen Länge der Mauer (120 m) oder zumindest einem wesentlichen Teil davon erfolgen müsste. Diesen Mehrkosten steht eine Verbesserung des Lärmschutzes nur für den Luftraum über dem bestehenden Einfamilienhaus der Beschwerdeführerin gegenüber. Ob je eine Aufstockung des bestehenden Gebäudes auf die nach dem heutigen Baureglement zulässigen 14.5 m erfolgt, ist ungewiss, zumal die Parzelle eine Fläche von nur ca. 500 m 2 aufweist.</w:t>
      </w:r>
    </w:p>
    <w:p>
      <w:r>
        <w:rPr>
          <w:b/>
        </w:rPr>
        <w:t>E. 5.2</w:t>
      </w:r>
    </w:p>
    <w:p>
      <w:r>
        <w:t>Das BUWAL regt in seiner Vernehmlassung an, dass die Lärmschutzwand näher an die Strasse hin gebaut werden könnte als dies in der Lärmbeurteilung vom 9. März 2004 vorgesehen sei. Dies erscheine anhand des Querprofils nicht von vornherein ausgeschlossen. Wie jedoch bereits das Verwaltungsgericht festgehalten hat und der Staatsrat in seiner Stellungnahme vom 6. April 2005 bestätigt, wird die Lärmschutzwand tatsächlich in einem kleineren Abstand zur Strassenachse als den der Lärmberechnung zugrunde BGE 131 II 616 S. 627 liegenden 5 m erstellt: Verbindlich sind die vom Staatsrat am 5. Mai 2004 genehmigten Pläne. Danach wird die Lärmschutzmauer direkt am Strassenrand erstellt werden; in dem die Beschwerdeführerin betreffenden Abschnitt (km 1200) beträgt die Entfernung der Lärmschutzmauer zur Strassenachse nur 3.25 m. Insofern ist damit zu rechnen, dass die Lärmbelastung auf der Parzelle der Beschwerdeführerin und der Parzelle Nr. 480 tatsächlich unter den in der Lärmbeurteilung berechneten Werten liegen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