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525</w:t>
      </w:r>
    </w:p>
    <w:p>
      <w:r>
        <w:t>Bundesgericht (BGE), 2005-01-01, DE</w:t>
      </w:r>
    </w:p>
    <w:p>
      <w:r>
        <w:rPr>
          <w:b/>
        </w:rPr>
        <w:t xml:space="preserve">Quelle: </w:t>
      </w:r>
      <w:r>
        <w:t>https://mcp.opencaselaw.ch/entscheid/bge_BGE_131_II_525</w:t>
      </w:r>
    </w:p>
    <w:p>
      <w:r>
        <w:t>FR: ATF 131 II 525</w:t>
      </w:r>
    </w:p>
    <w:p>
      <w:r>
        <w:t>IT: DTF 131 II 525</w:t>
      </w:r>
    </w:p>
    <w:p>
      <w:pPr>
        <w:pStyle w:val="Heading2"/>
      </w:pPr>
      <w:r>
        <w:t>Regeste</w:t>
      </w:r>
    </w:p>
    <w:p>
      <w:r>
        <w:t>Regeste Teilliquidation einer Vorsorgeeinrichtung; Behandlung der Wertschwankungsreserven. Die Wertschwankungsreserven stellen einen buchhalterischen Korrekturposten auf den Aktiven dar und zählen nicht zu den freien Mitteln der Vorsorgeeinrichtung (E. 5). Die Wertschwankungsreserven folgen bei einer Teilliquidation den Aktiven, zu deren Absicherung sie gebildet wurden. Barmittel unterliegen keinen Wertschwankungen, weshalb bei einer Abgeltung der Ansprüche des Abgangsbestands in bar keine Wertschwankungsreserven auf dessen neue Vorsorgeeinrichtung zu übertragen sind (E. 6).</w:t>
      </w:r>
    </w:p>
    <w:p>
      <w:r>
        <w:t>Regeste Liquidation partielle d'une institution de prévoyance; régime des réserves de fluctuation de valeur. Les réserves de fluctuation de valeur représentent un poste comptable correctif de l'actif et ne font pas partie de la fortune libre de l'institution de prévoyance (consid. 5). Dans une liquidation partielle, les réserves de fluctuation de valeur suivent les actifs pour la couverture des risques desquels elles ont été constituées. Les liquidités ne sont pas soumises à des fluctuations de valeur, raison pour laquelle, en cas de paiement en espèces des prétentions du personnel sortant, de telles réserves n'ont pas à être transférées à la nouvelle institution de prévoyance (consid. 6).</w:t>
      </w:r>
    </w:p>
    <w:p>
      <w:r>
        <w:t>Regesto Liquidazione parziale di un istituto di previdenza; regime delle riserve di fluttuazione del valore. Le riserve di fluttuazione del valore rappresentano una voce contabile di correzione degli attivi e non fanno parte dei fondi liberi dell'istituto di previdenza (consid. 5). Nell'ambito di una liquidazione parziale, le riserve di fluttuazione del valore seguono gli attivi a garanzia dei quali sono state costituite. La liquidità non soggiace ad alcuna fluttuazione di valore, per cui, se le pretese del personale uscente vengono pagate in contanti, non vanno trasferite riserve di questo genere al nuovo istituto di previdenza (consid. 6).</w:t>
      </w:r>
    </w:p>
    <w:p>
      <w:pPr>
        <w:pStyle w:val="Heading2"/>
      </w:pPr>
      <w:r>
        <w:t>Erwägungen</w:t>
      </w:r>
    </w:p>
    <w:p>
      <w:r>
        <w:rPr>
          <w:b/>
        </w:rPr>
        <w:t>E. 4.1</w:t>
      </w:r>
    </w:p>
    <w:p>
      <w:r>
        <w:t>Kommt es zu einer Teilliquidation einer Vorsorgeeinrichtung, so wird dieser ein so genanntes "Fortbestands- oder Fortführungsinteresse" zugebilligt. Unter dem betreffenden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gesetzliche Mindestverzinsung der Altersguthaben), Reserven wegen der Zunahme der Lebenserwartung, Reserven für die Anpassung der laufenden Renten an die Teuerung sowie Rückstellungen für latente Steuern und Abgaben auf Liegenschaften (vgl. CARL HELBLING, Personalvorsorge und BVG, 7. Aufl., Bern 2000, S. 267; OLIVIER DEPREZ, Feststellung der freien Mittel, in: Schmid [Hrsg.], Teilliquidationen von Vorsorgeeinrichtungen, Bern 2000, S. 46 ff.; OSKAR LEUTWILER, Teilliquidation einer Pensionskasse, in: Schweizer Treuhänder [ST] 1999 S. 324; Gemischte Kommission der Treuhand-Kammer und der Schweizerischen Aktuarvereinigung, Leitfaden zur Teilliquidation [Hrsg.], Zürich 2001, S. 18 f.; JACQUES-ANDRÉ SCHNEIDER, Fonds libres et liquidations de caisses de pensions, in: SZS 2001 S. 462 f.).</w:t>
      </w:r>
    </w:p>
    <w:p>
      <w:r>
        <w:rPr>
          <w:b/>
        </w:rPr>
        <w:t>E. 4.2</w:t>
      </w:r>
    </w:p>
    <w:p>
      <w:r>
        <w:t>Zusätzlich zum Fortbestandsinteresse ist bei der Teilliquidation von Vorsorgeeinrichtungen als zentrales Prinzip das BGE 131 II 525 S. 528 Gleichbehandlungsgebot zu beachten. Das Bundesgericht leitete schon vor Inkrafttreten des Freizügigkeitsgesetzes aus dem Rechtsgleichheitsgebot sowie aus dem Grundsatz von Treu und Glauben eine Verpflichtung der Vorsorgeeinrichtung ab, im Falle einer Teilliquidation eine den konkreten Verhältnissen angepasste Aufteilung des Vorsorgevermögens vorzunehmen. Es formulierte deshalb den Grundsatz, dass das Personalvorsorgevermögen den bisherigen Destinatären zu folgen habe, damit nicht wegen Personalfluktuationen einzelne Gruppen von Versicherten zulasten anderer profitieren ( BGE 128 II 394 E. 3.2 S. 396 f.; BGE 119 Ib 46 E. 4c S. 54; BGE 110 II 436 E. 4 f. S. 442 ff.). Mit Erlass des Freizügigkeitsgesetzes - und zuletzt im Rahmen der auf den 1. Januar 2005 in Kraft getretenen Revision des Bundesgesetzes über die berufliche Vorsorge (vgl. Art. 53d BVG ) - ist die Bedeutung des Gleichbehandlungsgebots weiter betont worden, so dass es heute als gleichberechtigtes Prinzip neben dem Fortbestandsinteresse steht (vgl. BGE 131 II 514 E. 5.4 S. 521).</w:t>
      </w:r>
    </w:p>
    <w:p>
      <w:r>
        <w:rPr>
          <w:b/>
        </w:rPr>
        <w:t>E. 5</w:t>
      </w:r>
    </w:p>
    <w:p>
      <w:r>
        <w:t>Die Beschwerdeführer machen geltend, sich in einer besonderen Situation zu befinden, weil die Pensionskasse V. eine Neugründung gewesen sei, die selbst weder über Reserven noch über Anlagen verfügt habe. Sie stellen anschliessend Vergleiche zwischen den Deckungsgraden der beiden beteiligten Vorsorgeeinrichtungen an und kommen zum Schluss, dass nur bei einer Übertragung von zusätzlichen 42 Mio. Franken auf die Beschwerdeführerin 11 dem Gleichbehandlungsgebot Genüge getan sei.</w:t>
      </w:r>
    </w:p>
    <w:p>
      <w:r>
        <w:rPr>
          <w:b/>
        </w:rPr>
        <w:t>E. 5.1</w:t>
      </w:r>
    </w:p>
    <w:p>
      <w:r>
        <w:t>Dieser Vergleich ist jedoch schon im Ansatz verfehlt: Die Lage einer neu gegründeten Pensionskasse unterscheidet sich hinsichtlich des Übertritts von Versicherten aus einer anderen Vorsorgeeinrichtung nicht wesentlich von jener einer bestehenden Pensionskasse. Letztere verfügt zwar bereits über Reserven und Rückstellungen, welche sie jedoch nur für ihren bisherigen Versichertenbestand berechnet und gebildet hat. Zudem darf sie allfällige freie Mittel nicht ohne weiteres (auch) zugunsten der Neuzugänge verwenden, weil es für ihre bisherigen Versicherten unzumutbar wäre, das Vorsorgevermögen zu teilen, welches sie zuvor allein geäufnet haben. Letztlich vermag eine bestehende Pensionskasse - gleich wie eine neu gegründete Vorsorgeeinrichtung - für die übertretenden Versicherten nur die von diesen mitgebrachten Mittel einzusetzen. BGE 131 II 525 S. 529</w:t>
      </w:r>
    </w:p>
    <w:p>
      <w:r>
        <w:rPr>
          <w:b/>
        </w:rPr>
        <w:t>E. 5.2</w:t>
      </w:r>
    </w:p>
    <w:p>
      <w:r>
        <w:t>Weiter verkennen die Beschwerdeführer die Natur der Wertschwankungsreserven; bei diesen handelt es sich nicht um freie Mittel, sondern - wie bereits der Name anzeigt - um einen Bilanzposten zur Absicherung des Risikos von Wertschwankungen der Vermögensanlagen. Eine entsprechende Korrektur ist buchhalterisch geboten und unter dem Titel des Fortbestandsinteresses auch im Rahmen einer Teilliquidation ohne weiteres zulässig ( BGE 128 II 394 E. 6.3 S. 404). Für die Bestimmung der Höhe der Wertschwankungsreserven am Stichtag ist der Grundsatz der Stetigkeit zu beachten und grundsätzlich nach der bisherigen Bilanzierungspraxis zu verfahren; dabei ist aber sicherzustellen, dass der Anlagestrategie der Kasse und mithin den konkret eingegangenen Risiken ausreichend Rechnung getragen wird (vgl. Gemischte Kommission der Treuhand-Kammer und der Schweizerischen Aktuarvereinigung, a.a.O., S. 15 f.). Die Beschwerdegegnerin hat ihre Wertschwankungsreserven mit Blick auf die Teilliquidation überprüft und um gut 41.2 Mio. Franken reduziert. Am Stichtag machten sie noch 360'136'600 Franken und damit rund 16.7 Prozent des Nettowerts jener Aktiven aus, die bei der Beschwerdegegnerin verblieben. Sie bewegen sich damit im mittleren Bereich der Bandbreite von zehn bis zwanzig Prozent der Vermögensanlagen, in welcher Wertschwankungsreserven von Lehre und Praxis gemeinhin als angemessen betrachtet werden ( BGE 128 II 394 E. 6.3 S. 404; DEPREZ, a.a.O., S. 46; CARL HELBLING, Personalvorsorge und BVG, 7. Aufl., Bern 2000, S. 268). Angesichts einer relativ risikoreichen Anlagestrategie der Beschwerdegegnerin, welche ihre Mittel zu rund der Hälfte in Aktien und Derivate investiert hat, ist die Höhe der Wertschwankungsreserven nicht zu beanstanden.</w:t>
      </w:r>
    </w:p>
    <w:p>
      <w:r>
        <w:rPr>
          <w:b/>
        </w:rPr>
        <w:t>E. 5.3</w:t>
      </w:r>
    </w:p>
    <w:p>
      <w:r>
        <w:t>Weil die Wertschwankungsreserven nach dem Gesagten einen eigentlichen Korrekturposten auf den Aktiven darstellen (und sich hier im Rahmen des Zulässigen bewegen), hätten die Beschwerdeführer sie im Rahmen ihrer Vergleichsberechnungen zum Abzug bringen müssen. Dann hätten sie festgestellt, dass bezüglich der Deckungsgrade keine Unterschiede bestehen: Wird nämlich in den Berechnungen der Beschwerdeführer das Nettovermögen der Beschwerdegegnerin um die Wertschwankungsreserven und den Erneuerungsfonds für Liegenschaften vermindert (sowie gleichzeitig die gebundenen Mittel um jene 30 Mio. Franken erhöht, welche unbestrittenermassen noch nicht individualisierte Guthaben der Rentner darstellen), so ergibt sich sowohl vor BGE 131 II 525 S. 530 als auch nach der Teilliquidation ein Deckungsgrad von 115 Prozent und nicht, wie geltend gemacht, von 139.5 bzw. 142.3 Prozent. Dieser Deckungsgrad entspricht - wie die folgende Tabelle zeigt - jenem der neu gegründeten Pensionskasse, den die Beschwerdeführer selbst mit 114.9 Prozent angegeben haben. Beschwerdegegnerin Beschwerdegegnerin Beschwerdeführerin 11 vor Teilliquidation nach Teilliquidation Nettovermögen zu Marktwerten 2'371'353'400 2'175'362'200 195'991'200 Erneuerungsfonds für Liegenschaften - 21'635'300 - 21'635'300 - Wertschwankungsreserven - 360'136'600 - 360'136'600 - verfügbare Mittel 1'989'581'500 1'793'590'300 195'991'200 gebundene Mittel 1'729'435'600 1'558'822'600 170'613'000 Deckungsgrad 115.0 % 115.1 % 114.9 %</w:t>
      </w:r>
    </w:p>
    <w:p>
      <w:r>
        <w:rPr>
          <w:b/>
        </w:rPr>
        <w:t>E. 5.4</w:t>
      </w:r>
    </w:p>
    <w:p>
      <w:r>
        <w:t>Zwar kann im Allgemeinen aus derartigen Vergleichen von Deckungsgraden nichts Aussagekräftiges für eine Teilliquidation geschlossen werden. Im vorliegenden Fall mögen die (korrigierten) Berechnungen jedoch ausnahmsweise als Indiz dafür dienen, dass Abgangs- und Fortbestand insoweit gleich behandelt worden sind. Dies, weil zum einen die Reglemente der beiden Vorsorgeeinrichtungen (und damit deren Leistungen) nahezu identisch sind; zum andern wurde die übernehmende Vorsorgeeinrichtung neu gegründet, weshalb ihr Deckungsgrad nicht von einer vorbestehenden Vermögens- und Verpflichtungslage beeinflusst wird. Mithin lassen die Deckungsgrade der beiden Pensionskassen im Moment der Teilliquidation bei korrekter Betrachtung nicht auf eine Ungleichbehandlung der Versicherten schliessen.</w:t>
      </w:r>
    </w:p>
    <w:p>
      <w:r>
        <w:rPr>
          <w:b/>
        </w:rPr>
        <w:t>E. 6</w:t>
      </w:r>
    </w:p>
    <w:p>
      <w:r>
        <w:t>Gleichzeitig erhellt aus dem Gesagten aber, dass sich die beiden Kassen bezüglich der Schwankungsreserven in einer wesentlich anderen Lage befinden: Während die Beschwerdegegnerin nach der Teilliquidation unter diesem Titel einen Betrag von 360 BGE 131 II 525 S. 531 Mio. Franken ausweist, verfügt die Beschwerdeführerin 11 über keinerlei Wertschwankungsreserven.</w:t>
      </w:r>
    </w:p>
    <w:p>
      <w:r>
        <w:rPr>
          <w:b/>
        </w:rPr>
        <w:t>E. 6.1</w:t>
      </w:r>
    </w:p>
    <w:p>
      <w:r>
        <w:t>Dieser Unterschied rührt aber letztlich allein daher, dass die Beschwerdeführerin 11 die auf sie zu übertragenden Mittel gänzlich in bar erhalten hat: Weil die Wertschwankungsreserven das Risiko von Wertschwankungen auf den Vermögensanlagen absichern, sind sie an jene Aktiven gebunden, für die sie gebildet wurden. Daraus folgt der Grundsatz, dass sie im Rahmen einer Teilliquidation dem Aktivum folgen, mit dem sie verbunden sind; wird dieses auf eine andere Vorsorgeeinrichtung übertragen, so ist die betreffende Wertschwankungsreserve mitzuübertragen. Angesichts der Funktion der Schwankungsreserven ist es logisch, dass auf Barmitteln, die selbst keinen Wertschwankungen unterliegen, keine Reserven gebildet werden. Dies führt dazu, dass bei einer Befriedigung der Ansprüche des Abgangsbestands durch Barmittel keine Wertschwankungsreserven bestehen, die mitzuübertragen wären; die vorhandenen Wertschwankungsreserven sind an andere Aktiven gebunden und können deshalb nicht abgetreten werden. Diese Gegebenheiten sind eine direkte Folge von Sinn und Zweck der Wertschwankungsreserven einerseits und der zwischen den beiden betroffenen Vorsorgeeinrichtungen bzw. deren Muttergesellschaften getroffenen ausdrücklichen Vereinbarung andererseits, gemäss welcher ausschliesslich Barmittel übertragen werden sollen.</w:t>
      </w:r>
    </w:p>
    <w:p>
      <w:r>
        <w:rPr>
          <w:b/>
        </w:rPr>
        <w:t>E. 6.2</w:t>
      </w:r>
    </w:p>
    <w:p>
      <w:r>
        <w:t>Insoweit liegt denn auch keine Verletzung des Gleichbehandlungsgebots vor. Dieses verlangt eine Teilung von Rückstellungen und Reserven nur insoweit, als bezüglich der hierdurch abgesicherten Risiken auch tatsächlich gleiche Verhältnisse vorliegen. Nimmt der Abgangsbestand als Austrittsleistung - wie hier - nur Aktiven mit, die keinen Wertschwankungen unterliegen, so werden auf seine neue Vorsorgeeinrichtung keine (unmittelbaren) Anlagerisiken übertragen, die mit einem Anteil an den Wertschwankungsreserven abzusichern wären. Bei solchen Gegebenheiten gebietet das Gleichbehandlungsgebot deshalb keine Teilung der Schwankungsreserve, da am Stichtag hinsichtlich der Anlagerisiken nicht gleiche, sondern unterschiedliche Verhältnisse vorliegen. Daran ändert der Umstand nichts, dass die neue Vorsorgeeinrichtung des Abgangsbestands die übertragenen Barmittel anlegen und alsdann auf den neu erworbenen Aktiven ihrerseits Wertschwankungsreserven bilden muss. Zwar ist der entsprechende BGE 131 II 525 S. 532 Bedarf für Schwankungsreserven durch die übertragenen Barmittel nicht gedeckt; auf der anderen Seite erlaubt es die Übertragung von Barmitteln der Vorsorgeeinrichtung aber, ihre Anlagestrategie völlig frei und insbesondere unabhängig von jener der abgebenden Kasse zu bestimmen. Je nach Grösse, Zusammensetzung des Versichertenbestands und Vermögenslage können die Strategien und mit ihnen der Rückstellungsbedarf sehr unterschiedlich ausfallen. Nichts anderes ergäbe sich entgegen der Ansicht der Beschwerdeführer, wenn bereits das revidierte Recht zur Anwendung käme: Der von ihnen angerufene Art. 27h der Verordnung vom 18. April 1984 über die berufliche Alters-, Hinterlassenen- und Invalidenvorsorge (BVV 2; SR 831.441.1) statuiert zwar ausdrücklich einen kollektiven anteilmässigen Anspruch auf die Schwankungsreserven. Dies gilt aber gemäss ausdrücklichem Wortlaut der Bestimmung nur insoweit, als auch anlagetechnische Risiken übertragen werden. Nach dem Gesagten ist dies bei einer gänzlichen Abgeltung der Ansprüche mit Barmitteln gerade nicht der Fall.</w:t>
      </w:r>
    </w:p>
    <w:p>
      <w:r>
        <w:rPr>
          <w:b/>
        </w:rPr>
        <w:t>E. 6.3</w:t>
      </w:r>
    </w:p>
    <w:p>
      <w:r>
        <w:t>Im Umstand, dass die Beschwerdegegnerin der Beschwerdeführerin 11 keine Schwankungsreserven übertragen hat, liegt demnach kein Verstoss gegen das Gleichbehandlungsgebot. Gleichzeitig steht auch fest, dass die Beschwerdegegnerin korrekt verfahren ist, als sie die Wertschwankungsreserven im Hinblick auf den geringeren Bedarf nach der Teilliquidation reduzierte: Sie hat die nicht mehr notwendigen Reserven im Wert von 41.2 Mio. Franken den freien Mitteln zugeschlagen, an denen in der Folge bekanntlich auch der Abgangsbestand anteilmässig partizipierte. Für eine direkte Übertragung des ganzen Betrags auf die Beschwerdeführerin 11 bestand nach dem Gesagten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