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420</w:t>
      </w:r>
    </w:p>
    <w:p>
      <w:r>
        <w:t>Bundesgericht (BGE), 2005-01-01, DE</w:t>
      </w:r>
    </w:p>
    <w:p>
      <w:r>
        <w:rPr>
          <w:b/>
        </w:rPr>
        <w:t xml:space="preserve">Quelle: </w:t>
      </w:r>
      <w:r>
        <w:t>https://mcp.opencaselaw.ch/entscheid/bge_BGE_131_II_420</w:t>
      </w:r>
    </w:p>
    <w:p>
      <w:r>
        <w:t>FR: ATF 131 II 420</w:t>
      </w:r>
    </w:p>
    <w:p>
      <w:r>
        <w:t>IT: DTF 131 II 420</w:t>
      </w:r>
    </w:p>
    <w:p>
      <w:pPr>
        <w:pStyle w:val="Heading2"/>
      </w:pPr>
      <w:r>
        <w:t>Regeste</w:t>
      </w:r>
    </w:p>
    <w:p>
      <w:r>
        <w:t>Regeste Art. 2, 18 ff. und 31 EBG, Art. 7 Abs. 2 EntG; bahnbaubedingte Umlegung von im Strassenkörper verlegten Werk- und Versorgungsleitungen, Kostentragung. Sind für den Bau einer Strassenbahn die im Strassenkörper verlegten Werkleitungen umzulegen, so bildet diese Umlegung Bestandteil des Eisenbahn-Projekts, das im eisenbahn- und enteignungsrechtlichen Verfahren gemäss Art. 18 ff. EBG zu genehmigen ist. Somit ist im Plangenehmigungsverfahren gestützt auf die eisenbahn- und enteignungsrechtlichen Vorschriften auch über die Tragung der Kosten für die Umlegung der Leitungen zu entscheiden. Daran ändern die Bestimmungen von Art. 40 EBG, Art. 35 FMG und § 37 des zürcherischen Strassengesetzes, welche andere Beziehungen als jene zwischen dem Bahnunternehmen und den Werkleitungseigentümern regeln, nichts (E. 3). Nach Art. 7 Abs. 2 EntG und Art. 19 EBG sowie allenfalls Art. 31 Abs. 2 EBG trägt die Bahnunternehmung die Kosten für die bahnbaubedingte Neuverlegung von Werkleitungen, soweit mit dieser Massnahme nicht in erster Linie Bedürfnissen Dritter entsprochen wird. Über Art und Umfang der erforderlichen Ersatzvorkehren hat die Plangenehmigungsbehörde zu befinden (E. 4).</w:t>
      </w:r>
    </w:p>
    <w:p>
      <w:r>
        <w:t>Regeste Art. 2, 18 ss et 31 LCdF, art. 7 al. 2 LEx; déplacement de conduites installées sous une route à cause de la construction d'un ouvrage ferroviaire, prise en charge des frais. Si la construction d'un tramway nécessite le déplacement de conduites installées sous la route, ce déplacement est alors un élément du projet ferroviaire qui doit être approuvé dans la procédure d'approbation des plans et d'expropriation réglée aux art. 18 ss LCdF. Il faut donc, dans la procédure d'approbation des plans, statuer sur la prise en charge des frais du déplacement des conduites, en application des prescriptions du droit des chemins de fer et du droit de l'expropriation. On ne saurait déduire une autre solution des dispositions de l'art. 40 LCdF, de l'art. 35 LTC et du § 37 de la loi cantonale zurichoise sur les routes, qui se rapportent à des relations autres que celles entre l'entreprise de chemins de fer et le propriétaire des conduites (consid. 3). Selon l'art. 7 al. 2 LEx et l'art. 19 LCdF, et le cas échéant selon l'art. 31 al. 2 LCdF, l'entreprise de chemins de fer prend à sa charge les frais du déplacement de conduites nécessité par la construction d'un ouvrage ferroviaire, pour autant que ces mesures n'aient pas dû être prises principalement eu égard aux besoins de tiers. L'autorité compétente dans la procédure d'approbation des plans doit se prononcer sur la nature et l'importance des mesures de compensation exigibles (consid. 4).</w:t>
      </w:r>
    </w:p>
    <w:p>
      <w:r>
        <w:t>Regesto Art. 2, 18 segg. e 31 Lferr, art. 7 cpv. 2 LEspr; spostamento di condotte sottostanti una strada a causa della costruzione di un impianto ferroviario, assunzione delle spese. Se per la costruzione di una tranvia devono essere spostate le condotte sottostanti una strada, il loro spostamento costituisce una parte integrante del progetto ferroviario, che dev'essere approvato nell'ambito della procedura di approvazione dei piani e di espropriazione secondo gli art. 18 segg. LEspr. Pertanto, nel quadro della procedura di approvazione dei piani, occorre decidere anche l'assunzione delle spese per lo spostamento delle condotte sulla base delle norme in materia ferroviaria ed espropriativa. A ciò nulla mutano le disposizioni dell'art. 40 Lferr, dell'art. 35 LTC e del § 37 della legge zurighese sulle strade, che disciplinano altri rapporti riguardanti l'impresa ferroviaria e il proprietario delle condotte (consid. 3). Secondo gli art. 7 cpv. 2 LEspr, 19 Lferr e, se del caso, 31 cpv. 2 Lferr è l'impresa ferroviaria che deve prendere a carico le spese per lo spostamento di condotte resosi necessario dalla costruzione di un impianto ferroviario, in quanto questa misura non soddisfi in primo luogo bisogni di terzi. Sulla natura e sulla portata dei necessari provvedimenti sostitutivi deve pronunciarsi l'autorità di approvazione dei piani (consid. 4).</w:t>
      </w:r>
    </w:p>
    <w:p>
      <w:pPr>
        <w:pStyle w:val="Heading2"/>
      </w:pPr>
      <w:r>
        <w:t>Erwägungen</w:t>
      </w:r>
    </w:p>
    <w:p>
      <w:r>
        <w:rPr>
          <w:b/>
        </w:rPr>
        <w:t>E. 3</w:t>
      </w:r>
    </w:p>
    <w:p>
      <w:r>
        <w:t>Unbestritten ist im vorliegenden Verfahren, dass es sich beim Bau der Glatttalbahn als Strassenbahn um ein Eisenbahnbau-Vorhaben im Sinne von Art. 18 des Eisenbahngesetzes vom 20. Dezember 1957 (EBG; SR 742.101) handelt, das grundsätzlich dem Bundesrecht untersteht. Es wird auch von keiner Seite in Abrede gestellt, dass die vorgesehene Entfernung der unter dem künftigen Bahntrassee verlaufenden Werkleitungen durch den Bahnbau bedingt ist. Das BAV hat denn auch im eisenbahn- und enteignungsrechtlichen Verfahren die Verlegung der Leitungen als Bestandteil des Bahnprojekts (unter Auflagen) genehmigt. Die Rekurskommission INUM hat hieraus geschlossen, dass sich die Kosten- und Entschädigungsfrage für den fraglichen Projektbestandteil ebenfalls nach eidgenössischem Eisenbahn- und Enteignungsrecht richte. Darin liegt nach Auffassung der Beschwerdeführerin eine Missachtung der Gleichrangigkeit eidgenössischer Eisenbahnhoheit und kantonaler Strassenhoheit sowie ein Verstoss gegen Art. 6 Abs. 2 EBG , gegen § 37 des zürcherischen Strassengesetzes (Gesetz über den Bau und den Unterhalt der öffentlichen Strassen vom 27. September 1981, kStrG; Zürcher Loseblattsammlung 722.1) und BGE 131 II 420 S. 424 gegen Art. 35 des Fernmeldegesetzes vom 30. April 1997 (FMG; SR 784.10). Dieser Betrachtungsweise ist nicht zu folgen.</w:t>
      </w:r>
    </w:p>
    <w:p>
      <w:r>
        <w:rPr>
          <w:b/>
        </w:rPr>
        <w:t>E. 3.1</w:t>
      </w:r>
    </w:p>
    <w:p>
      <w:r>
        <w:t>Die Beschwerdeführerin übersieht offenbar, dass es beim vorliegenden Streit weder um das Verhältnis zwischen Bahnunternehmung und Strasseninhabern noch um jenes zwischen Strasseninhabern und Eigentümern von Werkleitungen geht, sondern um die Beziehung der Bahnunternehmung als Bauherrin und Enteignerin zu den durch den Bahnbau betroffenen Eigentümern von Werkleitungen. Nun führen zwar diese Werkleitungen auf den hier umstrittenen Strecken durch öffentlichen Grund bzw. öffentliche Strassen. Sie sind jedoch dadurch, dass sie in Strassen verlegt worden sind, nicht zu deren Bestandteilen geworden und nicht ins öffentliche Grundeigentum übergegangen, sondern als Zubehör des jeweiligen Versorgungswerks im Eigentum des Werkinhabers verblieben (vgl. Art. 676 ZGB ; s. a. Art. 37 Abs. 1 FMG sowie § 3 lit. c kStrG a contrario). Die Werkleitungseigentümer nehmen daher gegenüber der Bahnunternehmung die gleiche Stellung ein wie andere Dritte (Private oder Gemeinwesen), in deren dingliche Rechte infolge des Bahnprojekts eingegriffen wird. Im Verhältnis zwischen der Bahnunternehmung und den Werkleitungseigentümern spielt mithin die von der Beschwerdeführerin angerufene kantonale Strassenhoheit keine oder nur eine untergeordnete Rolle.</w:t>
      </w:r>
    </w:p>
    <w:p>
      <w:r>
        <w:rPr>
          <w:b/>
        </w:rPr>
        <w:t>E. 3.2</w:t>
      </w:r>
    </w:p>
    <w:p>
      <w:r>
        <w:t>Nach Art. 6 Abs. 2 EBG wird die Konzession für eine Strassenbahn nur gewährt, wenn die nach kantonalem Recht erforderliche Bewilligung zur Benützung der öffentlichen Strassen erteilt oder zugesichert ist. Diese Bestimmung berührt die Beziehung zwischen den Trägern der Strassenhoheit und der Bahn und betrifft allfällige Drittberechtigte nicht. Zudem umschreibt sie - zusammen mit Art. 6 Abs. 2 EBG - lediglich die Voraussetzungen für die Gewährung einer Konzession. Zur Frage, nach welchem Recht sich der Bahnbau und die damit verbundenen Vorkehren richten, äussert sie sich nicht. Die Sondernorm von Art. 6 Abs. 2 EBG mag, wie im angefochtenen Entscheid angeführt, aus staatspolitischen Gründen aufgestellt worden sein, um die Anwendung des Enteignungsrechts durch Bahnunternehmungen gegenüber öffentlichen Gemeinwesen zu vermeiden (vgl. dazu auch JULIUS OETIKER, Die Eisenbahn-Gesetzgebung des Bundes, Zürich 1913, Bd. I, S. 30 N. 9; ROLF TINNER, Rechtsbeziehungen zwischen Bund und Kantonen im Eisenbahnwesen, Diss. Zürich 1941, S. 166 ff.). Zur Beurteilung der vorliegenden Streitsache trägt sie jedenfalls nichts bei. BGE 131 II 420 S. 425</w:t>
      </w:r>
    </w:p>
    <w:p>
      <w:r>
        <w:rPr>
          <w:b/>
        </w:rPr>
        <w:t>E. 3.3</w:t>
      </w:r>
    </w:p>
    <w:p>
      <w:r>
        <w:t>§ 37 Abs. 1 des zürcherischen Strassengesetzes verpflichtet den Eigentümer einer öffentlichen Strasse, die Verlegung von öffentlichen Verkehrs- und Versorgungsanlagen eines anderen Gemeinwesens oder von öffentliche Aufgaben erfüllenden Unternehmungen zu dulden, sofern die Zweckbestimmung und die technische Anlage der Strasse dies gestatten. Dem Strasseneigentümer sind alle aus solchen Anlagen entstehenden Kosten zu ersetzen und die Strasse ist nach erfolgter Beanspruchung wieder instandzustellen; eine weitere Entschädigung ist nicht geschuldet (§ 37 Abs. 2 kStrG). Die Versorgungsanlagen sind auf Kosten ihres Trägers zu verlegen oder anzupassen, wenn dies ein Strassenprojekt erfordert (§ 37 Abs. 3 kStrG). § 37 kStrG ordnet somit das Verhältnis zwischen den Eigentümern der öffentlichen Strassen und den Inhabern von Versorgungsanlagen. Er verpflichtet die einen zur Duldung von Anlagen auf öffentlichem Grund und verhält die anderen, ihre Leitungen bei strassenbaubedingten Änderungen auf eigene Kosten zu verlegen. Dagegen sagt § 37 kStrG nichts darüber aus, wie vorzugehen sei, wenn nicht ein Strassenbauprojekt sondern das Vorhaben eines Dritten Anlass zur Strassenänderung und zur Entfernung der Leitungen gibt. Untersteht das Bauvorhaben des Dritten wie hier dem Bundesrecht, findet grundsätzlich dieses auf sämtliche Projektbestandteile Anwendung.</w:t>
      </w:r>
    </w:p>
    <w:p>
      <w:r>
        <w:rPr>
          <w:b/>
        </w:rPr>
        <w:t>E. 3.4</w:t>
      </w:r>
    </w:p>
    <w:p>
      <w:r>
        <w:t>Ähnliche Überlegungen gelten hinsichtlich dem in der Beschwerde ergänzend angerufenen Art. 35 FMG . Nach dieser bundesrechtlichen Vorschrift haben die Eigentümer von Boden im Gemeingebrauch den Konzessionärinnen von Fernmeldediensten die Benutzung des Bodens für den Bau und Betrieb von Leitungen zu bewilligen, sofern diese Einrichtungen den Gemeingebrauch nicht beeinträchtigen ( Art. 35 Abs. 1 FMG ). Die Bewilligung ist entschädigungslos, lediglich gegen eine kostendeckende Gebühr, zu erteilen ( Art. 35 Abs. 5 FMG ). Die Konzessionärinnen tragen die Kosten für die Wiederherstellung des ursprünglichen Zustandes und sind gehalten, ihre Leitungen zu verlegen, wenn vom Grundeigentümer eine Benützung des Grundstücks beabsichtigt wird, die sich mit der Leitungsführung nicht verträgt ( Art. 35 Abs. 2 FMG ). Die Einzelheiten, namentlich auch die Voraussetzungen für die Leitungsumlegung, sind vom Bundesrat zu regeln ( Art. 35 Abs. 3 FMG ). BGE 131 II 420 S. 426 Auch diese Bestimmungen legen die Beziehung des Gemeinwesens, welches über Boden im Gemeingebrauch verfügt, zu den Inhaberinnen von Fernmelde-Leitungen fest. Nicht Bezug genommen wird dagegen auf das Verhältnis der Leitungs-Eigentümerinnen zu einem anderen öffentlichen Werk, das gestützt auf eidgenössisches Spezialverwaltungs- und Enteignungsrecht den Boden im Gemeingebrauch ebenfalls in Anspruch nehmen will. Zwar sieht Art. 37 Abs. 3 der Verordnung über die Fernmeldedienste vom 31. Oktober 2001 (FDV; SR 784.101.1) auch eine Verlegung (d.h. Umlegung) von Leitungen "zu Gunsten Dritter" vor. Da es sich jedoch bei Art. 37 Abs. 3 FDV um eine Ausführungsbestimmung zu Art. 35 FMG handelt und dieser die Umlegungspflicht nur gegenüber dem Grundeigentümer statuiert, kann es sich bei solchen Dritten nur um Personen oder Gemeinwesen handeln, die anstelle des Grundeigentümers tätig werden und über keine eigenen Rechtstitel und Zwangsmittel für die Durchsetzung der Leitungsverlegung verfügen. Fraglich ist im Übrigen auch, ob sich die weitere Ausführungsbestimmung von Art. 38 Abs. 1 FDV auf eine genügende gesetzliche Grundlage stützen lasse. Gemäss dieser soll Art. 35 FMG "sinngemäss auch für die kürzest mögliche Querung von Eisenbahngrundstücken mit Fernmeldeleitungen" gelten. Ob und inwiefern sich diese Anordnung mit dem Fernmeldegesetz selbst und vorab mit dem Eisenbahngesetz vereinbaren lasse, braucht hier jedoch nicht geklärt zu werden, da es nicht um die nachträgliche Unter- oder Überquerung von bestehenden Eisenbahnanlagen, sondern um den Bau eines neuen Eisenbahntrassees über bestehenden Werk- und Fernmeldeleitungen geht.</w:t>
      </w:r>
    </w:p>
    <w:p>
      <w:r>
        <w:rPr>
          <w:b/>
        </w:rPr>
        <w:t>E. 3.5</w:t>
      </w:r>
    </w:p>
    <w:p>
      <w:r>
        <w:t>Demnach ist mit der Vorinstanz festzustellen, dass sich die bahnbaubedingte Umlegung der Werkleitungen und die damit zusammenhängende Entschädigungspflicht nach eidgenössischem Eisenbahn- und Enteignungsrecht richten. Die Einsprachen, die von den Werkleitungseigentümerinnen gegen die Umlegungen erhoben worden sind, sind daher vom BAV als Plangenehmigungs- und Einsprachebehörde materiell zu behandeln (vgl. Art. 18 Abs. 2 und Art. 18h Abs. 1 EBG in Verbindung mit Art. 7 Abs. 2, Art. 35 lit. b und Art. 50 des Bundesgesetzes vom 20. Juni 1930 über die Enteignung [EntG; SR 711] ). Eine andere - noch zu prüfende - Frage ist, inwieweit das BAV gemäss Bundesrecht auch über die Umlegungskosten und über die weiteren von den Leitungseigentümerinnen gestellten Entschädigungsansprüche zu entscheiden hat. BGE 131 II 420 S. 427</w:t>
      </w:r>
    </w:p>
    <w:p>
      <w:r>
        <w:rPr>
          <w:b/>
        </w:rPr>
        <w:t>E. 4.1</w:t>
      </w:r>
    </w:p>
    <w:p>
      <w:r>
        <w:t>Bestimmte sich die umstrittene Kostenübernahme- und Entschädigungsfrage allein nach dem Enteignungsgesetz, wäre sie wie folgt zu beantworten: Werden bestehende öffentliche Einrichtungen, wie Wege oder Leitungen, durch die Ausführung oder den Betrieb des Unternehmens des Enteigners in Mitleidenschaft gezogen, so hat dieser nach Art. 7 Abs. 2 EntG alle Vorkehren zu treffen, um deren Fortbenützung sicherzustellen, soweit dies durch das öffentliche Interesse gefordert wird. Über den Umfang der Vorkehren, die im öffentlichen Interesse liegen und für welche das Enteignungsrecht ausgeübt werden darf ( Art. 4 lit. e EntG ), ist von der Einsprachebehörde im Einspracheverfahren zu entscheiden. Dagegen hat die Eidgenössische Schätzungskommission im Anschluss an den Einspracheentscheid darüber zu befinden, ob trotz der Vorkehren des Enteigners ein Schaden entstanden sei und allenfalls wem die neu erstellten Anlagen gehörten und wer für deren Unterhalt aufzukommen habe (vgl. Art. 26 und Art. 64 Abs. 1 lit. c und d EntG ; BGE 104 Ib 348 E. 2; BGE 111 Ib 280 E. 2; BGE 116 Ib 241 E. 3a S. 246; BGE 121 II 436 E. 7 S. 444; BGE 122 II 12 E. 1a S. 14 f.). Obliegt aber dem Enteigner die Wiederherstellung der durch sein Werk beeinträchtigten Leitungen, soweit dies im öffentlichen Interesse liegt, so gehen auch die damit verbundenen Kosten zu seinen Lasten. Von diesem enteignungsrechtlichen Grundsatz könnte nur abgewichen werden, wenn und soweit die Leitungseigentümer durch Sondernormen, die dem Enteignungsgesetz vorgehen, zur Mitfinanzierung des Unternehmens des Enteigners verpflichtet würden. Wie bereits dargelegt (E. 3.3 und 3.4), können weder Art. 35 FMG noch § 37 des zürcherischen Strassengesetzes als Vorschrift zur Unterstützung von Bahnen verstanden werden. Andere Subventionsbestimmungen zugunsten des Bahnbaus enthält das kantonale Recht soweit ersichtlich nicht (vgl. dazu BGE 104 Ib 348 E. 2d S. 353; Entscheid 1A.176/1992 vom 3. Mai 1995, E. 3). Eine von der enteignungsrechtlichen abweichende Lösung könnte sich daher nur aufgrund weiterer eidgenössischer Spezialgesetzgebung, insbesondere des Eisenbahnrechts, ergeben.</w:t>
      </w:r>
    </w:p>
    <w:p>
      <w:r>
        <w:rPr>
          <w:b/>
        </w:rPr>
        <w:t>E. 4.2</w:t>
      </w:r>
    </w:p>
    <w:p>
      <w:r>
        <w:t>Im angefochtenen Entscheid wird zu Recht ausgeführt, dass in den Plangenehmigungsverfahren für den Bahnbau in erster Linie die Spezialvorschriften des Eisenbahngesetzes zum Zuge BGE 131 II 420 S. 428 kämen und das eidgenössische Enteignungsrecht nur subsidiär anzuwenden sei (vgl. Art. 18a EBG ). Als anwendbare Bestimmungen fielen insbesondere Art. 19 und Art. 31 EBG in Betracht.</w:t>
      </w:r>
    </w:p>
    <w:p>
      <w:r>
        <w:rPr>
          <w:b/>
        </w:rPr>
        <w:t>E. 4.2.1</w:t>
      </w:r>
    </w:p>
    <w:p>
      <w:r>
        <w:t>Nach Art. 19 EBG trifft die Bahnunternehmung die Vorkehren, die zur Sicherheit des Baues und Betriebes der Bahn sowie zur Vermeidung der Gefahr für Personen und Sachen notwendig sind. Werden durch Bauarbeiten öffentliche Einrichtungen, wie Strassen und Wege, Leitungen und ähnliche Anlagen betroffen, so sorgt die Bahnunternehmung für deren Fortbenützung, soweit es das öffentliche Interesse erfordert ( Art. 19 Abs. 1 Satz 2 EBG ). Die Bahnunternehmung trägt die Kosten dieser Vorkehren. Kosten für Vorkehren, welche wegen Bauvorhaben oder anderer Bedürfnisse Dritter nötig werden, gehen zu deren Lasten ( Art. 19 Abs. 2 EBG ). Art. 19 Abs. 1 Satz 2 EBG übernimmt somit lediglich die Bestimmung von Art. 7 Abs. 2 EntG , während in Art. 19 Abs. 2 EBG die in Art. 7 EntG vorausgesetzte Kostenpflicht des Enteigners ausdrücklich festgestellt wird. Insofern besteht zwischen den eisenbahnrechtlichen und den enteignungsrechtlichen Bestimmungen keine Diskrepanz. Dass gemäss Art. 40 EBG Streitigkeiten über die Kostentragung für Vorkehren im Sinne von Art. 19 Abs. 2 EBG vom Bundesamt zu beurteilen sind, bedeutet übrigens nach der Rechtsprechung nicht, dass über solche Streitigkeiten notwendigerweise in einem speziellen Verfahren zu befinden sei und nicht im Plangenehmigungsverfahren entschieden werden dürfe (vgl. BGE 117 Ib 111 E. 1a; BGE 127 II 227 E. 1a mit Hinweisen). Die Frage, mit welchen Vorkehren den Bedürfnissen (kostenpflichtiger) Dritter und nicht den öffentlichen Interessen entsprochen werde, kommt ohnehin der Frage gleich, welches der Umfang der unerlässlichen Vorkehren sei, die der Enteigner im öffentlichen Interesse auf eigene Kosten zu ergreifen hat.</w:t>
      </w:r>
    </w:p>
    <w:p>
      <w:r>
        <w:rPr>
          <w:b/>
        </w:rPr>
        <w:t>E. 4.2.2</w:t>
      </w:r>
    </w:p>
    <w:p>
      <w:r>
        <w:t>Art. 31 Abs. 2 EBG sieht für die Kreuzungen zwischen Bahn und (u. a.) Leitungen vor, dass die durch Erstellung einer neuen Kreuzung oder Änderung einer bestehenden Kreuzung entstehenden Kosten für Bau, Unterhalt und Erneuerung sowie für alle Schadensverhütungsmassnahmen zu Lasten des jeweiligen Bauherrn gehen. Die Rekurskommission INUM ist angesichts der ihr vorliegenden Projektpläne und des Verlaufs der Leitungen davon ausgegangen, dass auch diese Bestimmung teilweise anwendbar BGE 131 II 420 S. 429 sei. Ob dies zutreffend oder Art. 31 EBG deshalb nicht einschlägig sei, weil mit den Leitungsumlegungen Kreuzungen gerade vermieden werden sollen, kann offen gelassen werden. Jedenfalls geht auch Art. 31 Abs. 2 EBG für die Änderung von Kreuzungen von der grundsätzlichen Kostentragung durch die Bauherrschaft, hier also durch die Bahnunternehmung, aus. Demnach führt Art. 31 EBG zum gleichen Resultat wie die enteignungsrechtlichen Bestimmungen.</w:t>
      </w:r>
    </w:p>
    <w:p>
      <w:r>
        <w:rPr>
          <w:b/>
        </w:rPr>
        <w:t>E. 4.3</w:t>
      </w:r>
    </w:p>
    <w:p>
      <w:r>
        <w:t>Zusammenfassend kann festgehalten werden, dass die Vorkehren zur Fortbenützung der bestehenden Werkleitungen, so auch deren bahnbaubedingte Neuverlegung, von der Bahnunternehmung zu treffen und grundsätzlich von ihr zu finanzieren sind. Die Kosten für solche Massnahmen können bloss insoweit auf Dritte überwälzt werden, als mit diesen nicht (nur) den öffentlichen Interessen am Fortbestand der Leitungen, sondern (auch) den Bedürfnissen dieser Drittpersonen Rechnung getragen wird. Da die Ersatzvorkehren für die Beeinträchtigung der Leitungen wie gesehen Bestandteil des Projektes der Bahnunternehmung sind (s. a. Urteil 1E.32/1995 vom 28. Dezember 1995), hat im Streitfall das BAV als Einsprachebehörde darüber zu entscheiden, welche einzelnen Vorkehren als im öffentlichen Interesse liegend von der Enteignerin ergriffen werden müssen. Das Bundesamt beurteilt im Plangenehmigungsverfahren ebenfalls, in welchem Umfange die vorgesehenen Vorkehren Bedürfnissen Dritter entsprächen und daher von diesen abzugelten sind. Dagegen wird nicht vom BAV, sondern von der Eidgenössischen Schätzungskommission zu beurteilen sein, ob nach Vornahme der nach Art. 7 Abs. 2 EntG und Art. 19 Abs. 1 EBG zu treffenden Massnahmen immer noch ein Schaden verbleibe, der den Eigentümerinnen der Werkleitungen zu vergüten ist. Ein solcher Schaden kann denn auch nicht ausgeschlossen werden, bloss weil die Durchleitung auf öffentlichem Grund entschädigungslos gestattet worden ist. Wie bereits dargelegt (E. 3.1), richtet sich der Eingriff der Enteignerin nicht nur gegen die konzedierten oder auf andere Weise eingeräumten Durchleitungsrechte, sondern gegen das Eigentum an den Werkleitungen selbst, denen ein gewisser Vermögenswert nicht abgesprochen werden kann (so auch RUDOLF KAPPELER, Rechtsfragen beim Zusammentreffen öffentlicher Werke, Zürich 1969, S. 17). Im Übrigen werden von der Schätzungskommission auch die Vorteile zu berücksichtigen sein, die den Leitungseigentümerinnen aus den Neuanlagen entstehen (vgl. Art. 26 Abs. 1 Satz 2 EntG ). BGE 131 II 420 S. 430 Die Vorinstanz hat demnach in ihren Erwägungen zu Recht festgestellt, es sei Sache der Plangenehmigungsbehörde, über Art und Umfang der Ersatzvorkehren zu entscheiden, während die Schätzungskommission allenfalls noch darüber zu befinden habe, ob trotz der Ersatzvorkehren der Enteignerin ein Schaden entstanden und hierfür Entschädigung zu leisten sei. Die von der Rekurskommission INUM verfügte Rückweisung der Streitsache zu neuem Entscheid an das BAV ist in diesem Sinne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