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235</w:t>
      </w:r>
    </w:p>
    <w:p>
      <w:r>
        <w:t>Bundesgericht (BGE), 2005-02-28, DE</w:t>
      </w:r>
    </w:p>
    <w:p>
      <w:r>
        <w:rPr>
          <w:b/>
        </w:rPr>
        <w:t xml:space="preserve">Quelle: </w:t>
      </w:r>
      <w:r>
        <w:t>https://mcp.opencaselaw.ch/entscheid/bge_BGE_131_II_235</w:t>
      </w:r>
    </w:p>
    <w:p>
      <w:r>
        <w:t>FR: ATF 131 II 235</w:t>
      </w:r>
    </w:p>
    <w:p>
      <w:r>
        <w:t>IT: DTF 131 II 235</w:t>
      </w:r>
    </w:p>
    <w:p>
      <w:pPr>
        <w:pStyle w:val="Heading2"/>
      </w:pPr>
      <w:r>
        <w:t>Regeste</w:t>
      </w:r>
    </w:p>
    <w:p>
      <w:r>
        <w:t>Regeste Art. 2 Ziff. 1, Art. 3 Ziff. 1, Art. 12 Ziff. 2 lit. b und Art. 14 Ziff. 1 EAUe; Art. 1 und 2 EÜBT; Art. 3 Abs. 1 IRSG; Art. 260ter Ziff. 1 StGB. Auslieferungsersuchen von Serbien-Montenegro gegen einen Verfolgten, dem vorgeworfen wird, er habe Nachfolgeorganisationen der kosovo-albanischen Organisation UCK unterstützt, die terroristische Anschläge verübt hätten (s. auch BGE 130 II 337 ff.). Sachverhaltsdarstellung des Ersuchens und weitere Abklärungen der eidgenössischen Behörden (E. 2.10 und 2.11). Begriff der terroristischen Organisation im Sinne von Art. 260ter Ziff. 1 StGB. Auslieferungsvoraussetzung der beidseitigen Strafbarkeit bejaht (E. 2.12-2.14). Einrede des "politischen" Deliktes im Auslieferungsrecht. Abgrenzung zwischen mutmasslichen Terroristen bzw. bewaffneten politischen Widerstandskämpfern und Bürgerkriegsparteien. Einrede der politischen Verfolgung abgewiesen (E. 3.1-3.5).</w:t>
      </w:r>
    </w:p>
    <w:p>
      <w:r>
        <w:t>Regeste Art. 2 par. 1, art. 3 par. 1, art. 12 par. 2 let. b et art. 14 par. 1 CEExtr; art. 1 et 2 CERT; art. 3 al. 1 EIMP; art. 260ter ch. 1 CP. Demande d'extradition présentée par la Serbie-Montenegro, concernant un fugitif auquel il est reproché d'avoir soutenu des organisations qui ont pris la relève de l'organisation kosovare albanaise UCK et perpétré des attaques terroristes (voir aussi ATF 130 II 337 ss). Exposé des faits présenté à l'appui de la demande et éclaircissements complémentaires apportés par les autorités fédérales (consid. 2.10 et 2.11). Notion d'organisation terroriste au sens de l'art. 260ter ch. 1 CP. Condition de la double incrimination remplie en l'espèce (consid. 2.12-2.14). Exception du délit "politique" dans le droit de l'extradition. Distinction entre des supposés terroristes, ou des combattants de la résistance politique armée, et des parties à une guerre civile. Exception de la poursuite politique rejetée (consid. 3.1-3.5).</w:t>
      </w:r>
    </w:p>
    <w:p>
      <w:r>
        <w:t>Regesto Art. 2 n. 1, art. 3 n. 1, art. 12 n. 2 lett. b e art. 14 n. 1 CEEstr; art. 1 e 2 CERT; art. 3 cpv. 1 AIMP; art. 260ter n. 1 CP. Domanda di estradizione presentata dalla Serbia-Montenegro nei confronti di una persona perseguita per avere sostenuto organizzazioni, succedute all'organizzazione kosovara-albanese UCK, che avrebbero perpetrato attentati terroristici (v. anche DTF 130 II 337 segg.). Esposto dei fatti della domanda e complementi d'informazioni richiesti dalle autorità federali (consid. 2.10 e 2.11). Nozione di organizzazione criminale ai sensi dell'art. 260ter n. 1 CP. Presupposto della doppia punibilità realizzato in concreto (consid. 2.12-2.14). Obiezione di "reato politico" nel diritto estradizionale. Distinzione tra presunti terroristi rispettivamente combattenti della resistenza politica armata e fazioni di una guerra civile. Obiezione del perseguimento politico respinta (consid. 3.1-3.5).</w:t>
      </w:r>
    </w:p>
    <w:p>
      <w:pPr>
        <w:pStyle w:val="Heading2"/>
      </w:pPr>
      <w:r>
        <w:t>Erwägungen</w:t>
      </w:r>
    </w:p>
    <w:p>
      <w:r>
        <w:rPr>
          <w:b/>
        </w:rPr>
        <w:t>E. 2.10</w:t>
      </w:r>
    </w:p>
    <w:p>
      <w:r>
        <w:t>Im angefochtenen Entscheid des BJ wird die Sachverhaltsdarstellung des Ersuchens und seiner diversen Ergänzungen nun wie folgt zusammengefasst:</w:t>
      </w:r>
    </w:p>
    <w:p>
      <w:r>
        <w:rPr>
          <w:b/>
        </w:rPr>
        <w:t>E. 2.10.1</w:t>
      </w:r>
    </w:p>
    <w:p>
      <w:r>
        <w:t>Der Verfolgte habe in den Jahren 1999 und 2000 der OVPMB ("Befreiungsarmee für Presevo, Medvedja und Bujanovac") sowie ab 2002 der ANA ("Albanian National Army"/"Armée nationale Albanaise") angehört. In diesem Zusammenhang habe er "gegenüber den anderen Mitgliedern - mit denen er einen ständigen Telefonkontakt aufrechterhalten" habe - "vor allem eine beratende Rolle gespielt und deren Handlungen beeinflusst". Dabei habe der Verfolgte "seine Gesprächspartner zur Ausführung konkreter terroristischer Aktionen gegen Angehörige des BGE 131 II 235 S. 238 Sicherheitsdienstes in Südserbien angestiftet und diese Aktionen vorbereitet bzw. koordiniert". Ausserdem sei er "für die Bereitstellung von Geldmitteln zur Beschaffung von Ausrüstung sowie von Waffen und Munition zuständig gewesen". Die ANA habe "am 3. Februar 2003 in Serbien einen Sicherheitsbeamten getötet". Die Täter hätten sich "danach im Haus des Verfolgten versteckt". Mitglieder der ANA hätten "am 2. März 2003 und 23. September 2003" in Serbien Sprengkörper an verschiedenen Orten angebracht, welche "in der Folge nicht explodiert" seien.</w:t>
      </w:r>
    </w:p>
    <w:p>
      <w:r>
        <w:rPr>
          <w:b/>
        </w:rPr>
        <w:t>E. 2.10.2</w:t>
      </w:r>
    </w:p>
    <w:p>
      <w:r>
        <w:t>Gemäss Angaben der ersuchenden Behörde seien "Struktur und Aufbau" der OVPMB und der ANA "veränderlich" und "von der Anzahl der Mitglieder sowie von der politischen bzw. wirtschaftlichen Situation im betroffenen Gebiet" abhängig. In diesem Zusammenhang sei auch "die Sicherheitslage von Bedeutung". Es habe sich "gezeigt, dass sich die Struktur dieser Organisationen oft", manchmal sogar innert Wochenfrist, verändert habe. Der Verfolgte habe eine "Sondergruppe" der ANA gegründet, "welche mit der Planung und der unmittelbaren Ausführung von terroristischen Aktionen und Gewaltakten zur Beunruhigung der Einwohner beauftragt gewesen" sei. "Als eines der aktivsten Mitglieder dieser Organisation sowie als Koordinator" habe er "durch kontinuierliche und ordentliche Kontakte mit anderen Mitgliedern und durch konkrete Anweisungen deren Aktionen geleitet, Finanzhilfe aus dem Ausland, namentlich aus der Schweiz, besorgt und die Ausrüstung der Gruppe sichergestellt". In der Schweiz habe der Verfolgte "für die Organisation Geld eingezogen und dieses über eine andere Person in den Kosovo weitergeleitet". Er sei "über die Vorbereitung und Ausführung der Tötung" des serbischen Sicherheitsbeamten "informiert" gewesen. Zudem kenne er die Täter persönlich und habe mit ihnen "vor und nach der Aktion telefonisch und per SMS-Mitteilungen kommuniziert". Ausserdem hätten sich die Täter nach dem Tötungsdelikt "im Haus des Verfolgten" in Bujanovac versteckt. Eine "physische Teilnahme an der Tatausführung vor Ort" werde ihm hingegen "nicht vorgeworfen". Zudem habe der Verfolgte "die Aufstellung der Sprengladung auf einer Landstrasse im Gebiet des Dorfs Turija, welche von Angehörigen der Einheiten des serbischen Innenministeriums, der Gendarmerie und der Polizei benutzt" worden sei, "koordiniert". Er sei diesbezüglich "ausführlich durch einen Mittäter orientiert worden, ohne dabei physisch an der Tatausführung beteiligt gewesen zu BGE 131 II 235 S. 239 sein". Schliesslich habe der Verfolgte "bei den geplanten Hinterhalten gegen die Gendarmerie im Zeitraum vom 6. bis 9. März 2003 im Gebiet der Gemeinde Bujanovac mitgewirkt, indem die Kommunikation zwischen den Mittätern über den Verfolgten, der aus der Schweiz telefoniert" habe, erfolgt sei.</w:t>
      </w:r>
    </w:p>
    <w:p>
      <w:r>
        <w:rPr>
          <w:b/>
        </w:rPr>
        <w:t>E. 2.10.3</w:t>
      </w:r>
    </w:p>
    <w:p>
      <w:r>
        <w:t>Zwar erscheint die Sachverhaltsdarstellung des Ersuchens und seiner Ergänzungen nicht in allen Punkten konsistent. Sie entspricht jedoch insgesamt den formellen Voraussetzungen von Art. 12 Ziff. 2 lit. b des Europäischen Auslieferungsübereinkommens vom 13. Dezember 1957 (EAUe; SR 0.353.1).</w:t>
      </w:r>
    </w:p>
    <w:p>
      <w:r>
        <w:rPr>
          <w:b/>
        </w:rPr>
        <w:t>E. 2.11</w:t>
      </w:r>
    </w:p>
    <w:p>
      <w:r>
        <w:t>Zu den weiteren Sachverhaltsabklärungen des BJ wird im angefochtenen Entscheid Folgendes ausgeführt:</w:t>
      </w:r>
    </w:p>
    <w:p>
      <w:r>
        <w:rPr>
          <w:b/>
        </w:rPr>
        <w:t>E. 2.11.1</w:t>
      </w:r>
    </w:p>
    <w:p>
      <w:r>
        <w:t>Gemäss den Berichten des Dienstes für Analyse und Prävention des Bundesamtes für Polizei (DAP) vom 22. März und 13. August 2004 seien die OVPMB und die ANA "Nachfolgeorganisationen der UCK" (Ushtria Clirimtare e Kosovës/"Kosovo Liberation Army") und "eng miteinander verbunden". Nach Auflösung der OVPMB im Mai 2001 seien die meisten ihrer Mitglieder der ANA beigetreten. Diese sei für "Untergrundaktionen" und "Anschläge" verantwortlich, "namentlich gegen serbische Sicherheitskräfte in Südserbien". "Mit ihren gezielten Kampfhandlungen" versuche sie, "die Krisenregion zu destabilisieren und damit die internationalen Friedensbemühungen zu behindern". Die ANA habe sich "zu mehreren Anschlägen bekannt, bei denen seit 2001 ca. 25 Angehörige der Sicherheitskräfte aus Mazedonien und Serbien getötet worden" seien. Die ANA-Zellen seien "vielfach mit den lokalen kriminellen Gebietschefs verbunden". "Die Kämpfer dieser Zellen" seien "als feste Bestandteile der kriminellen Clanstrukturen in Schutzgelderpressungen, Schmuggel, Waffen-, Drogen- und Menschenhandel involviert".</w:t>
      </w:r>
    </w:p>
    <w:p>
      <w:r>
        <w:rPr>
          <w:b/>
        </w:rPr>
        <w:t>E. 2.11.2</w:t>
      </w:r>
    </w:p>
    <w:p>
      <w:r>
        <w:t>Laut DAP hätten die US-Regierung sowie der ehemalige Chef der UNO-Verwaltung im Kosovo (UNMIK) die ANA als terroristische Organisation bezeichnet. Zwar habe die internationale Staatengemeinschaft "aufgrund von politischen Überlegungen und verschiedener Abkommen" die UCK und ihre Nachfolgeorganisationen "anfänglich grundsätzlich nicht auf Terrorlisten gesetzt". Ab Mitte 2001 sei jedoch erkannt worden, dass in den Kampfhandlungen von selbst ernannten Befreiungsbewegungen eine Gefährdung des Friedens und der Sicherheit in der BGE 131 II 235 S. 240 Krisenregion liege. Am 17. April 2003 habe der zuständige Sonderbevollmächtigte des UNO-Generalsekretärs, Michael Steiner, eine Verwaltungsanweisung erlassen, wonach es sich bei der ANA um eine "terroristische Vereinigung" (im Sinne der UNMIK-Verfügung Nr. 2001/12 vom 14. Juni 2001) handle. Diese Verfügung sei erfolgt, nachdem sich die ANA zu einem Sprengstoffanschlag vom 12. April 2003 auf eine Eisenbahnbrücke in Zvecan bekannt habe. Am 28. Mai 2003 habe auch das Schatzamt der US-Regierung die ANA als "terroristische Organisation" bezeichnet. Zur Struktur und zum Aufbau der ANA gebe es wenig neue Erkenntnisse. Oberstes Gremium der ANA für politische Entscheidungen sei ein Exekutivorgan, welches aus elf Mitgliedern bestehe. Die Mitgliederzahl werde auf einige hundert Personen geschätzt, darunter viele frühere Mitglieder der UCK.</w:t>
      </w:r>
    </w:p>
    <w:p>
      <w:r>
        <w:rPr>
          <w:b/>
        </w:rPr>
        <w:t>E. 2.11.3</w:t>
      </w:r>
    </w:p>
    <w:p>
      <w:r>
        <w:t>Gemäss dem Zusatzbericht des Eidgenössischen Departements für auswärtige Angelegenheiten (EDA) vom 13. August 2004 könne momentan "von einer organisierten Kraft unter dem Namen ANA" nicht mehr gesprochen werden. Im Jahre 2003 "sei das Problem jedoch noch aktuell gewesen". Vertreter der UCK hätten ausgesagt, dass die ANA "bereits vor dieser existiert habe". Die ANA habe "politische, militärische, finanzielle und eventuell auch logistische Strukturen". Selbst für die ehemaligen Vertreter der UCK sei es "nicht immer leicht", die Verästelungen innerhalb der ANA zu überblicken. "Seit dem Jahre 2004" gleiche die ANA "eher einer Gruppe von Kriminellen, als einer Organisation mit disziplinierten Kämpfern", die politische Ziele verfolgt. Ab 2004 hätten die Aktionen, die der ANA zuzurechnen sind, "mehrheitlich Erpressungen und Einschüchterungen der Bevölkerung" betroffen. Die Organisation verfüge heute über nicht mehr als 200 Mitglieder. Nur wenige davon befänden sich im Kosovo, die Mehrheit halte sich in Belgien, der Schweiz und eventuell in Italien auf. Seit dem erwähnten Attentat vom 12. April 2003 auf eine Eisenbahnbrücke in Zvecan habe sich die ANA "zu keinen weiteren Anschlägen mehr bekannt". Da die ANA die Unabhängigkeit des Kosovo von Serbien mit gewalttätigen Mitteln angestrebt habe, sei sie Mitte April 2003, nach dem Attentat von Zvecan, von der UNMIK "als terroristische Organisation eingestuft worden". Es könne nicht ausgeschlossen werden, dass seither "verschiedene Gruppierungen unter dem Deckmantel der 'ANA' gemeinrechtliche Straftaten begehen würden, ohne jeglichen politischen Hintergrund". BGE 131 II 235 S. 241</w:t>
      </w:r>
    </w:p>
    <w:p>
      <w:r>
        <w:rPr>
          <w:b/>
        </w:rPr>
        <w:t>E. 2.12</w:t>
      </w:r>
    </w:p>
    <w:p>
      <w:r>
        <w:t>Gemäss Art. 260 ter Ziff. 1 StGB wird mit Zuchthaus bis zu fünf Jahren oder mit Gefängnis bestraft, wer sich an einer Organisation beteiligt, die ihren Aufbau und ihre personelle Zusammensetzung geheimhält und die den Zweck verfolgt, Gewaltverbrechen zu begehen oder sich mit verbrecherischen Mitteln zu bereichern. Ebenso macht sich strafbar, wer eine solche Organisation in ihrer verbrecherischen Tätigkeit unterstützt. Unter den Begriff der kriminellen Organisationen fallen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 BGE 130 II 337 E. 3.4 S. 344; BGE 128 II 355 E. 4.3 S. 365 f.; BGE 125 II 569 E. 5c S. 574, je mit Hinweisen). Nach der Praxis des Bundesgerichtes stellen insbesondere die italienischen "Brigate Rosse", die baskische ETA und das internationale Netzwerk Al-Qaïda terroristische verbrecherische Organisation im Sinne von Art. 260 ter Ziff. 1 StGB dar ( BGE 128 II 355 E. 2.2 S. 361; BGE 125 II 569 E. 5c und d S. 574 f.; zur betreffenden teilweise nicht publizierten Rechtsprechung und zur Abgrenzung zwischen Art. 260 ter Ziff. 1 und Art. 260 quinquies StGB vgl. auch MARC FORSTER, Die Strafbarkeit der Unterstützung [insbesondere Finanzierung] des Terrorismus, ZStrR 121/2003 S. 423 ff.).</w:t>
      </w:r>
    </w:p>
    <w:p>
      <w:r>
        <w:rPr>
          <w:b/>
        </w:rPr>
        <w:t>E. 2.12.1</w:t>
      </w:r>
    </w:p>
    <w:p>
      <w:r>
        <w:t>Als Beteiligte im Sinne von Art. 260 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Kommunikationsmitteln oder Finanzdienstleistungen usw.). Die Beteiligung setzt auch keine massgebliche Funktion innerhalb der Organisation voraus. Sie kann informeller Natur sein oder auch geheimgehalten werden ( BGE 128 II 355 E. 2.3 S. 361 mit Hinweisen).</w:t>
      </w:r>
    </w:p>
    <w:p>
      <w:r>
        <w:rPr>
          <w:b/>
        </w:rPr>
        <w:t>E. 2.12.2</w:t>
      </w:r>
    </w:p>
    <w:p>
      <w:r>
        <w:t>Bei Personen, die nicht in die Organisationsstruktur integriert sind, kommt die Tatvariante der Unterstützung in Frage. BGE 131 II 235 S. 242 Diese verlangt einen bewussten Beitrag zur Förderung der verbrecherischen Aktivitäten der kriminellen Organisation. Im Gegensatz zur Gehilfenschaft zu spezifischen Straftaten ( Art. 25 StGB ) ist für die Unterstützung nach Art. 260 ter Ziff. 1 Abs. 2 StGB der Nachweis von kausalen Tatbeiträgen im Hinblick auf ein konkretes Delikt nicht erforderlich ( BGE 128 II 355 E. 2.4 S. 361 f. mit Hinweisen). So können namentlich das blosse Liefern von Waffen an eine terroristische oder mafiaähnliche Organisation, das Verwalten von Vermögenswerten oder andere logistische Hilfeleistungen von Aussenstehenden unter den Organisationstatbestand von Art. 260 ter Ziff. 1 Abs. 2 StGB fallen. Dementsprechend besteht zwischen der Beihilfe zu konkreten Straftaten und dem Organisationstatbestand auch grundsätzlich echte Konkurrenz ( BGE 128 II 355 E. 2.4 S. 362 mit Hinweisen). Der subjektive Tatbestand von Art. 260 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 BGE 128 II 355 E. 2.4 S. 362 mit Hinweisen).</w:t>
      </w:r>
    </w:p>
    <w:p>
      <w:r>
        <w:rPr>
          <w:b/>
        </w:rPr>
        <w:t>E. 2.13</w:t>
      </w:r>
    </w:p>
    <w:p>
      <w:r>
        <w:t>Gestützt auf die Zusatzberichte des DAP und des EDA muss die ANA aufgrund ihrer Struktur und ihrer verbrecherischen Aktivitäten im fraglichen Zeitraum (Frühjahr 2003) als terroristische Organisation im Sinne von Art. 260 ter Ziff. 1 StGB bezeichnet werden. Bei der ANA handelte sich nach den vorliegenden Erkenntnissen um eine relativ straff geführte und paramilitärisch organisierte extremistische Untergrundorganisation mit einigen hundert aktiven Mitgliedern, die ihren Aufbau und ihre personelle Zusammensetzung geheim hielt. Ihr Ziel bestand darin, die ehemalige Bürgerkriegsregion Kosovo-Südserbien mit dem Einsatz von Gewalt politisch zu destabilisieren, um die Unabhängigkeit des Kosovo von Serbien zu erzwingen. Zu diesem Zweck verübte die ANA im Februar und März 2003 Attentate mit Schusswaffen und Sprengstoff auf serbische Sicherheitskräfte. Ab Mitte April 2003 beanspruchte sie aber auch die Urheberschaft eines Bombenanschlages gegen zivile Einrichtungen (Eisenbahnbrücke in Zvecan). Wie sich aus den Rechtshilfeakten ergibt, wurde die ANA deshalb vom zuständigen Sonderbevollmächtigten des UNO-Generalsekretärs am 17. April 2003 auf die Liste der als terroristisch BGE 131 II 235 S. 243 eingestuften extremistischen Gruppierungen gesetzt. Dem Beschwerdeführer wird im Wesentlichen vorgeworfen, er habe der ANA (als eines ihrer aktivsten Mitglieder) angehört. Von der Schweiz aus habe er die Organisation logistisch unterstützt. Namentlich habe er sich an der Planung und Koordination von Anschlägen beteiligt und für die ANA finanzielle Mittel beschafft. Über die im Februar 2003 geplante und ausgeführte Tötung eines serbischen Polizisten sei er zumindest "informiert" gewesen. "Vor und nach der Aktion" habe er mit den Hauptverdächtigen "telefonisch und per SMS-Mitteilungen kommuniziert". Ausserdem hätten sich die Täter nach dem Tötungsdelikt in einem Haus des Beschwerdeführers versteckt. Eine "physische Teilnahme an der Tatausführung vor Ort" werde ihm hingegen "nicht vorgeworfen". Dies gelte auch für fehlgeschlagene Sprengstoffdelikte der ANA im März bzw. September 2003.</w:t>
      </w:r>
    </w:p>
    <w:p>
      <w:r>
        <w:rPr>
          <w:b/>
        </w:rPr>
        <w:t>E. 2.14</w:t>
      </w:r>
    </w:p>
    <w:p>
      <w:r>
        <w:t>Im Falle einer strafrechtlichen Verurteilung fiele der inkriminierte Sachverhalt nach schweizerischem Recht grundsätzlich unter Art. 260 ter Ziff. 1 StGB . Damit liegt ein auslieferungsfähiges Delikt im Sinne von Art. 2 Ziff. 1 EAUe vor. Einen liquiden Alibibeweis vermag der Beschwerdeführer nicht zu erbringen. Zwar macht er geltend, er habe sich im fraglichen Zeitraum jeweils in der Schweiz aufgehalten. Die ersuchende Behörde wirft ihm jedoch keine Teilnahme an konkreten Tathandlungen in Südserbien vor; vielmehr wird er verdächtigt, die ANA von der Schweiz aus logistisch unterstützt zu haben. Auch die übrigen Einwendungen des Beschwerdeführers gegen die Sachdarstellung des Ersuchens lassen den dargelegten Verdacht nicht ohne weiteres dahinfallen. Dies gilt namentlich für sein Vorbringen, entgegen der Sachdarstellung des Ersuchens habe er nie in Bujanovac gewohnt oder dort ein Haus besessen. Es kann offen bleiben, ob die dem Beschwerdeführer vorgeworfenen Tatbeiträge ausreichend konkret wären, um ihm darüber hinaus eine direkte strafbare Beteiligung an dem fraglichen Tötungsdelikt und an den versuchten Sprengstoffdelikten anzulasten. Welche Straftatbestände im Falle einer Anklageerhebung nach ausländischem Recht in Frage kämen, ist nicht vom schweizerischen Rechtshilferichter zu prüfen. Dass im Dispositiv des angefochtenen Entscheides der Sachverhalt, für den die Auslieferung bewilligt werden soll, im Sinne der obigen Erwägungen eingegrenzt wird, hält vor dem Bundesrecht stand. Die Begrenzung BGE 131 II 235 S. 244 nach dem Grundsatz der Spezialität ( Art. 14 Ziff. 1 EAUe ) soll sicherstellen, dass der ersuchende Staat im Falle der Auslieferung lediglich Sachverhalte zur Anklage bringt, die gemäss Art. 2 Ziff. 1 EAUe auch nach schweizerischem Recht strafbar wären. Eine allfällige Ausdehnung des Anklagesachverhaltes wäre nur mit ausdrücklicher Zustimmung der schweizerischen Behörden zulässig (vgl. Art. 14 Ziff. 1 lit. a EAUe ).</w:t>
      </w:r>
    </w:p>
    <w:p>
      <w:r>
        <w:rPr>
          <w:b/>
        </w:rPr>
        <w:t>E. 3</w:t>
      </w:r>
    </w:p>
    <w:p>
      <w:r>
        <w:t>(...)</w:t>
      </w:r>
    </w:p>
    <w:p>
      <w:r>
        <w:rPr>
          <w:b/>
        </w:rPr>
        <w:t>E. 3.1</w:t>
      </w:r>
    </w:p>
    <w:p>
      <w:r>
        <w:t>Die Auslieferung wird nicht bewilligt, wenn die strafbare Handlung, derentwegen sie begehrt wird, vom ersuchten Staat als eine politische oder eine mit einer solchen zusammenhängende strafbare Handlung angesehen wird ( Art. 3 Ziff. 1 EAUe ; vgl. auch Art. 3 Abs. 1 und Art. 55 Abs. 2 IRSG ). Serbien und Montenegro sowie die Schweiz haben das Europäische Übereinkommen zur Bekämpfung des Terrorismus vom 27. Januar 1977 ratifiziert (EÜBT; SR 0.353.3). Das EÜBT ist für Serbien und Montenegro seit dem 16. August 2003 in Kraft. Gemäss Art. 2 Ziff. 1 EÜBT kann der ersuchte Staat im Falle von Auslieferungsgesuchen entscheiden, dass eine schwere Gewalttat gegen das Leben, die körperliche Unversehrtheit oder die Freiheit einer Person nicht als politische oder mit einer solchen zusammenhängende Straftat angesehen wird (sofern die Tat nicht ohnehin unter Art. 1 EÜBT fällt). Analoges gilt für den Versuch, eine solche schwere Gewalttat zu begehen oder für die Beteiligung daran als Mittäter oder Gehilfe ( Art. 2 Ziff. 3 EÜBT ). Keine politische Straftat im Sinne des EÜBT liegt namentlich bei schweren Straftaten vor, die in einem Angriff auf das Leben, die körperliche Unversehrtheit oder die Freiheit völkerrechtlich geschützter Personen einschliesslich Diplomaten bestehen ( Art. 1 lit. c EÜBT ). Das gleiche gilt für Entführungen, Geiselnahmen, schwere widerrechtliche Freiheitsentziehungen oder für Straftaten, bei deren Begehung eine Bombe, eine Handgranate, eine Rakete, eine automatische Schusswaffe oder ein Sprengstoffbrief oder -paket verwendet wird, wenn dadurch Personen gefährdet werden ( Art. 1 lit. d und e EÜBT ). Keine politische Straftat stellt schliesslich der Versuch dar, eine der genannten Straftaten zu begehen, oder die Beteiligung daran als Mittäter oder Gehilfe ( Art. 1 lit. f EÜBT ).</w:t>
      </w:r>
    </w:p>
    <w:p>
      <w:r>
        <w:rPr>
          <w:b/>
        </w:rPr>
        <w:t>E. 3.2</w:t>
      </w:r>
    </w:p>
    <w:p>
      <w:r>
        <w:t>In der Praxis des Bundesgerichtes wird zwischen so genannt "absolut" politischen und "relativ" politischen Delikten BGE 131 II 235 S. 245 unterschieden. "Absolut" politische Delikte stehen in unmittelbarem Zusammenhang mit politischen Vorgängen. Darunter fallen namentlich Straftaten, welche sich ausschliesslich gegen die soziale und politische Staatsorganisation richten, wie etwa Angriffe gegen die verfassungsmässige Ordnung, Landes- oder Hochverrat. Ein "relativ" politisches Delikt liegt nach der Rechtsprechung vor, wenn einer gemeinrechtlichen Straftat im konkreten Fall ein vorwiegend politischer Charakter zukommt.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 BGE 130 II 337 E. 3.2 S. 342 f.; BGE 128 II 355 E. 4.2 S. 365; BGE 125 II 569 E. 9b S. 578, je mit Hinweisen).</w:t>
      </w:r>
    </w:p>
    <w:p>
      <w:r>
        <w:rPr>
          <w:b/>
        </w:rPr>
        <w:t>E. 3.3</w:t>
      </w:r>
    </w:p>
    <w:p>
      <w:r>
        <w:t>Zu denken ist hier insbesondere an den Einsatz von illegalen Mitteln gegen diktatorische oder systematisch die Menschenrechte verletzende Regimes. Bei schweren Gewaltverbrechen, namentlich Tötungsdelikten, wird der politische Charakter in der Regel verneint. Ausnahmen könnten allenfalls bei eigentlichen offenen Bürgerkriegsverhältnissen gegeben sein, oder wenn das betreffende Delikt (etwa im Falle eines "Tyrannenmordes") das einzige praktikable Mittel zur Erreichung wichtiger humanitärer Ziele darstellen würde ( BGE 130 II 337 E. 3.3 S. 343; BGE 128 II 355 E. 4.2 S. 365; BGE 109 Ib 64 E. 6a S. 71 f., je mit Hinweisen). Diese Praxis des Bundesgerichtes gilt auch bei der Prüfung der Frage, ob es sich beim Verfolgten um einen mutmasslichen Terroristen oder einen bewaffneten politischen Widerstandskämpfer handelt ( BGE 130 II 337 E. 3.3 S. 343; BGE 128 II 355 E. 4 S. 363 f., je mit Hinweisen). Der heiklen Unterscheidung zwischen "legitimen" Widerstandskämpfern oder Bürgerkriegsparteien einerseits und Terroristen andererseits hat der eidgenössische Gesetzgeber auch beim Erlass des neuen Art. 260 quinquies StGB (Terrorismusfinanzierung, in Kraft seit 1. Oktober 2003) Rechnung getragen. So sehen die Absätze 3 und 4 dieser Bestimmung Strafbarkeitsausschlüsse vor bei BGE 131 II 235 S. 246 Personen, welche namentlich (das humanitäre Kriegsvölkerrecht respektierende) Bürgerkriegsparteien finanziell unterstützen oder auch Freiheitskämpfer gegen Unterdrückung und Besatzung bzw. politische Aktivisten, die zur Durchsetzung ihrer ideellen und politischen Anliegen angemessene Mittel des gewalttätigen Widerstands einsetzen (vgl. BGE 130 II 337 E. 3.3 S. 343 f. mit Hinweisen). Auch die Anwendung von Art. 260 ter Ziff. 1 StGB (Unterstützung bzw. Beteiligung an einer terroristischen Organisation) verlangt eine entsprechende Abgrenzung zwischen Terroristen und politischen Widerstandskämpfern. Die vom Gesetzgeber - bewusst - an die Gerichte delegierte Aufgabe, zu bestimmen, was im Einzelfall eine straflose "politisch legitime" Gewaltanwendung darstelle und was nicht, muss allerdings als sehr delikat bezeichnet werden ( BGE 130 II 337 E. 3.3 S. 344 mit Hinweisen).</w:t>
      </w:r>
    </w:p>
    <w:p>
      <w:r>
        <w:rPr>
          <w:b/>
        </w:rPr>
        <w:t>E. 3.4</w:t>
      </w:r>
    </w:p>
    <w:p>
      <w:r>
        <w:t>Da weder das EAUe noch das EÜBT den Begriff des politischen Deliktes näher definieren, verfügen die Vertragsstaaten hier über ein weites Ermessen. Das Bundesgericht prüft die Frage, ob ein politisches Delikt vorliegt, welches eine Auslieferung ausschliesst, mit freier Kognition ( BGE 130 II 337 E. 3.4 S. 344; BGE 128 II 355 E. 4.3 S. 365; BGE 125 II 569 E. 9b S. 577 f.). Das schweizerische Strafrecht unterscheidet zwischen kriminellen Organisationen ( Art. 260 ter StGB ), staatsgefährdenden rechtswidrigen Vereinigungen ( Art. 275 ter StGB ) sowie gemeinrechtlichen Formen kollektiver Kriminalität bzw. der Teilnahme an Straftaten. Unter den Begriff der kriminellen Organisationen fallen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 BGE 130 II 337 E. 3.4 S. 344; BGE 128 II 355 E. 4.3 S. 365 f.; BGE 125 II 569 E. 5c S. 574, je mit Hinweisen).</w:t>
      </w:r>
    </w:p>
    <w:p>
      <w:r>
        <w:rPr>
          <w:b/>
        </w:rPr>
        <w:t>E. 3.5</w:t>
      </w:r>
    </w:p>
    <w:p>
      <w:r>
        <w:t>Wie bereits dargelegt, wird dem Beschwerdeführer die Unterstützung und Beteiligung an einer terroristischen Organisation im Sinne von Art. 260 ter Ziff. 1 StGB vorgeworfen, welche namentlich für ein Tötungsdelikt und für versuchte Sprengstoffanschläge im Frühjahr 2003 verantwortlich sei (vgl. oben, E. 2.12-2.13). Bei schweren Gewaltverbrechen, namentlich Tötungsdelikten, wird der politische Charakter der verfolgten Straftaten in der Regel BGE 131 II 235 S. 247 verneint ( BGE 130 II 337 E. 3.3 S. 343; BGE 128 II 355 E. 4.2 S. 365, je mit Hinweisen). Analoges muss auch für die Unterstützung von politisch motivierten terroristischen Gewalttaten gelten. Eine Ausnahme im Sinne der dargelegten Praxis (offene Bürgerkriege, moderater Widerstandkampf gegen fremde Besatzung oder diktatorische Regimes) ist im vorliegenden Fall nicht gegeben, sie wäre hier auch mit der Zielrichtung des EÜBT nur schwer zu vereinbaren. Zwar ist es im März 2004 erneut zu blutigen interethnischen Auseinandersetzungen im Kosovo gekommen. Der Bürgerkrieg ist jedoch seit mehreren Jahren formell beendet. Seither bemüht sich die internationale Staatengemeinschaft mit grossem Engagement um eine Befriedung der Krisenregion (vgl. KFOR-Botschaft des Bundesrates, BBl 2005 S. 447 ff., 450-52; s. auch oben E. 2.11.2). Der terroristische, den Einwand des politischen Deliktes grundsätzlich ausschliessende Charakter der fraglichen Straftaten kommt im Falle der ANA namentlich dadurch zum Ausdruck, dass dieser extremistischen Organisation (jedenfalls seit Mitte April 2003) neben Attentaten auf serbische Sicherheitskräfte auch noch ein Sprengstoffanschlag gegen zivile Einrichtungen (Eisenbahnbrücke in Zvecan) vorgeworfen wird. Die Einschüchterung der Bevölkerung oder auch die Nötigung von Staaten bzw. internationalen Organisationen durch Gewaltverbrechen ist ein typisches Merkmal für terroristische Aktivitäten im Sinne des EÜBT (vgl. URSULA CASSANI, Le train de mesures contre le financement du terrorisme: une loi nécessaire? SZW 2003 S. 293 ff., 301 f.; FORSTER, a.a.O., S. 444; s. auch Art. 260 quinquies Abs. 1 StGB ). Nach dem Gesagten ist die Einrede des politischen Deliktes im vorliegenden Fall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