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652</w:t>
      </w:r>
    </w:p>
    <w:p>
      <w:r>
        <w:t>Bundesgericht (BGE), 2005-09-14, FR</w:t>
      </w:r>
    </w:p>
    <w:p>
      <w:r>
        <w:rPr>
          <w:b/>
        </w:rPr>
        <w:t xml:space="preserve">Quelle: </w:t>
      </w:r>
      <w:r>
        <w:t>https://mcp.opencaselaw.ch/entscheid/bge_BGE_131_III_652</w:t>
      </w:r>
    </w:p>
    <w:p>
      <w:r>
        <w:t>FR: ATF 131 III 652</w:t>
      </w:r>
    </w:p>
    <w:p>
      <w:r>
        <w:t>IT: DTF 131 III 652</w:t>
      </w:r>
    </w:p>
    <w:p>
      <w:pPr>
        <w:pStyle w:val="Heading2"/>
      </w:pPr>
      <w:r>
        <w:t>Regeste</w:t>
      </w:r>
    </w:p>
    <w:p>
      <w:r>
        <w:t>Regeste Sperren von Guthaben durch den Bundesrat gestützt auf Art. 184 Abs. 3 BV; analoge Anwendung von Art. 44 SchKG. Auf einen Beschluss des Bundesrats, Guthaben gestützt auf Art. 184 Abs. 3 BV zu sperren, ist Art. 44 SchKG sinngemäss anwendbar (E. 2). Unter dem Vorbehalt der Fälle von Nichtigkeit dürfen die Betreibungs- und Konkursämter einer solchen "Beschlagnahme" somit nicht eine eigene zu dieser in Widerspruch stehende Verfügung entgegenhalten, die dann der betreibungsrechtlichen Beschwerde unterliegen würde (E. 3).</w:t>
      </w:r>
    </w:p>
    <w:p>
      <w:r>
        <w:t>Regeste Blocage d'avoirs par le Conseil fédéral sur la base de l'art. 184 al. 3 Cst.; application par analogie de l'art. 44 LP. L'art. 44 LP s'applique par analogie à une décision du Conseil fédéral ordonnant le blocage d'avoirs sur la base de l'art. 184 al. 3 Cst. (consid. 2). Sous réserve des cas de nullité, les offices de poursuite et de faillite n'ont donc pas le droit d'opposer à une telle "confiscation" une décision qui leur soit propre en sens contraire, qui serait ensuite susceptible d'une plainte du droit de la poursuite (consid. 3).</w:t>
      </w:r>
    </w:p>
    <w:p>
      <w:r>
        <w:t>Regesto Blocco di averi da parte del Consiglio federale sulla base dell'art. 184 cpv. 3 Cost.; applicazione per analogia dell'art. 44 LEF. L'art. 44 LEF si applica per analogia a una decisione del Consiglio federale che ordina il blocco di averi sulla base dell'art. 184 cpv. 3 Cost. (consid. 2). Riservati i casi di nullità, gli Uffici di esecuzione e dei fallimenti non hanno quindi il diritto di opporre ad una tale "confisca" una propria decisione di contenuto contrario, che sarebbe poi suscettiva di un ricorso previsto dal diritto dell'esecuzione forzata (consid. 3).</w:t>
      </w:r>
    </w:p>
    <w:p>
      <w:pPr>
        <w:pStyle w:val="Heading2"/>
      </w:pPr>
      <w:r>
        <w:t>Erwägungen</w:t>
      </w:r>
    </w:p>
    <w:p>
      <w:r>
        <w:rPr>
          <w:b/>
        </w:rPr>
        <w:t>E. 2</w:t>
      </w:r>
    </w:p>
    <w:p>
      <w:r>
        <w:t>L'application de la loi sur la poursuite pour dettes et la faillite peut être exclue en raison tant de la personne du poursuivant ou du poursuivi que de l'objet de la poursuite (GILLIÉRON, Commentaire de la loi fédérale sur la poursuite pour dettes et la faillite, n. 58 ss ad art. 38-45 LP ). Ainsi, en vertu de l' art. 44 LP , la réalisation d'objets confisqués en vertu des lois pénales et fiscales de la Confédération et des cantons s'opère en conformité des dispositions de ces lois. La question se pose de savoir si le blocage des avoirs litigieux ordonné par le Conseil fédéral sur la base de l' art. 184 al. 3 Cst. est visé ou non par l' art. 44 LP . L' art. 184 al. 3 Cst. prévoit que, lorsque la sauvegarde des intérêts du pays l'exige, le Conseil fédéral peut adopter les ordonnances et prendre les décisions nécessaires; les ordonnances doivent être limitées dans le temps. Ces ordonnances sont qualifiées d'indépendantes parce qu'elles trouvent leur base directement dans la Constitution (JEAN-FRANÇOIS AUBERT/PASCAL MAHON, Petit commentaire de la Constitution fédérale de la Confédération suisse du 18 avril 1999, n. 12 ad art. 184 Cst. ). Les mesures - ordonnances ou décisions - prises sur la base de la norme constitutionnelle en question se situent en règle générale, par définition presque, praeter legem et se substituent en quelque sorte à des lois qui n'existent justement pas. C'est pourquoi elles doivent, pour être conformes à la Constitution, être nécessaires et urgentes, poursuivre un intérêt public prépondérant et respecter le principe de la proportionnalité (AUBERT/ MAHON, op. cit., n. 17 ad art. 184 Cst. ). Il suit de là que si l'ordonnance de blocage prise en l'espèce par le Conseil fédéral sur la base de l' art. 184 al. 3 Cst. ne constitue pas à proprement parler une loi pénale ou fiscale au sens de l' art. 44 LP , empêchant ainsi une application directe de cette disposition, elle peut néanmoins y être assimilée, de sorte que l' art. 44 LP doit s'appliquer par analogie à BGE 131 III 652 S. 656 une telle ordonnance. Il incombe par conséquent aux offices de poursuite et de faillite de traiter la réalisation d'objets "confisqués" sur la base de l' art. 184 al. 3 Cst. de la même manière que les objets confisqués en vertu des lois pénales et fiscales de la Confédération et des cantons.</w:t>
      </w:r>
    </w:p>
    <w:p>
      <w:r>
        <w:rPr>
          <w:b/>
        </w:rPr>
        <w:t>E. 3.1</w:t>
      </w:r>
    </w:p>
    <w:p>
      <w:r>
        <w:t>Aux termes de l' art. 44 LP , la réalisation d'objets confisqués en vertu des lois pénales et fiscales de la Confédération et des cantons s'opère en conformité des dispositions de ces lois. Selon la jurisprudence, bien que ce texte ne parle que de la réalisation, la mise sous main de justice (Beschlagnahme) elle-même - y compris ses conditions, son exécution et ses effets - est également visée par la disposition en cause et il importe peu qu'elle porte sur des objets qui ont été saisis ou sont tombés dans la faillite antérieurement ( ATF 115 III 1 consid. 3a et les références citées). La jurisprudence a également précisé que les conditions et les effets de la "confiscation" doivent être jugés uniquement par les autorités pénales ou fiscales compétentes à teneur desdites lois pénales et fiscales. Les autorités de poursuite et de faillite n'ont pas le droit d'opposer à une "confiscation" pénale ou fiscale une décision qui leur soit propre en sens contraire, qui serait ensuite susceptible d'une plainte du droit de la poursuite. Demeurent toutefois réservées les "confiscations" qui seraient manifestement illicites selon la loi applicable et que les autorités de poursuite et de faillite pourraient dès lors considérer comme nulles. Les créanciers ou, selon les cas, l'administration de la faillite doivent s'opposer à de telles "confiscations" par les voies de la procédure pénale, respectivement du droit fiscal ( ATF 107 III 113 consid. 1; ATF 105 III 1 ). S'agissant techniquement d'une réserve en faveur des lois pénales et fiscales, les conditions et les effets de la mise sous main de justice sont donc de la compétence des autorités désignées par ces lois et les autorités de poursuite et de faillite ne peuvent qu'en prendre acte. Les créanciers ou l'administration de la faillite peuvent attaquer la décision de mise sous main de justice selon les voies de droit prévues par ces lois (cf. DOMENICO ACOCELLA, Kommentar zum Bundesgesetz über Schuldbetreibung und Konkurs, n. 7 ad art. 44 LP ).</w:t>
      </w:r>
    </w:p>
    <w:p>
      <w:r>
        <w:rPr>
          <w:b/>
        </w:rPr>
        <w:t>E. 3.2</w:t>
      </w:r>
    </w:p>
    <w:p>
      <w:r>
        <w:t>La mesure de blocage ordonnée en 1997 par l'Office fédéral de la justice, à la suite de la demande d'entraide judiciaire BGE 131 III 652 S. 657 internationale, était sans aucun doute visée par l' art. 44 LP ( ATF 123 II 595 consid. 6b p. 612/613) et avait priorité sur le séquestre de la LP (ROBERT ZIMMERMANN, La coopération judiciaire internationale en matière pénale, n. 208). Il en va de même, pour les motifs exposés plus haut (consid. 2), du blocage ordonné le 15 décembre 2003 par le Conseil fédéral sur la base de l' art. 184 al. 3 Cst. On ne saurait dire d'emblée que cette autorité n'était pas compétente, que les conditions d'un blocage n'étaient pas remplies et que cette mesure était illicite, partant nulle, seul cas dans lequel les autorités de poursuite et de faillite ont le droit de refuser d'en tenir compte (consid. 3.1). Le créancier X. pouvait agir contre le blocage en question, dont il a été informé (supra, sous les faits, let. B). Le recours de droit administratif qu'il a déposé en relation avec cette mesure est d'ailleurs toujours pendant devant la I re Cour de droit public du Tribunal fédéral. Il suit de là que l'office des poursuites a eu raison, en l'espèce, de refuser la distribution des deniers audit créancier par sa décision du 7 avril 2004. Les autorités cantonales de surveillance qui lui ont donné tort ont par conséquent violé l' art. 44 LP , appliqué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