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636</w:t>
      </w:r>
    </w:p>
    <w:p>
      <w:r>
        <w:t>Bundesgericht (BGE), 2005-08-15, DE</w:t>
      </w:r>
    </w:p>
    <w:p>
      <w:r>
        <w:rPr>
          <w:b/>
        </w:rPr>
        <w:t xml:space="preserve">Quelle: </w:t>
      </w:r>
      <w:r>
        <w:t>https://mcp.opencaselaw.ch/entscheid/bge_BGE_131_III_636</w:t>
      </w:r>
    </w:p>
    <w:p>
      <w:r>
        <w:t>FR: ATF 131 III 636</w:t>
      </w:r>
    </w:p>
    <w:p>
      <w:r>
        <w:t>IT: DTF 131 III 636</w:t>
      </w:r>
    </w:p>
    <w:p>
      <w:pPr>
        <w:pStyle w:val="Heading2"/>
      </w:pPr>
      <w:r>
        <w:t>Regeste</w:t>
      </w:r>
    </w:p>
    <w:p>
      <w:r>
        <w:t>Regeste Aktienrecht; Statutenzwang für Gründervorteile; Teilnichtigkeit; Art. 628 Abs. 3 OR bzw. aOR; Art. 627 Ziff. 9 und Art. 20 Abs. 2 OR. Vereinbarung zwischen der in Gründung begriffenen Gesellschaft und den Gründern betreffend zukünftige Zahlungen, die teilweise Gründervorteile und teilweise ein Entgelt für zukünftige Leistungen zu Gunsten der Gesellschaft darstellen. Blosse Teilnichtigkeit der Vereinbarung in Bezug auf die Gründervorteile wegen Verstosses gegen den Statutenzwang (E. 2.2).</w:t>
      </w:r>
    </w:p>
    <w:p>
      <w:r>
        <w:t>Regeste Droit de la société anonyme; obligation de mentionner dans les statuts les avantages en faveur des fondateurs; nullité partielle; art. 628 al. 3 CO resp. aCO; art. 627 ch. 9 et art. 20 al. 2 CO. Convention entre la société en formation et les fondateurs concernant des paiements futurs, lesquels représentent en partie des avantages particuliers et en partie une rémunération pour des prestations à venir en faveur de la société. Seule la partie de la convention relative aux avantages accordés aux fondateurs est nulle, une telle disposition devant obligatoirement figurer dans les statuts (consid. 2.2).</w:t>
      </w:r>
    </w:p>
    <w:p>
      <w:r>
        <w:t>Regesto Diritto della società anonima; obbligo di menzionare negli statuti i vantaggi a favore dei promotori; nullità parziale; art. 628 cpv. 3 CO risp. vCO; art. 627 n. 9 e art. 20 cpv. 2 CO. Convenzione fra la società da costituire e i promotori concernente pagamenti futuri che rappresentano in parte vantaggi speciali e in parte una rimunerazione per future prestazioni in favore della società. Solo la parte della convenzione concernente i vantaggi per i promotori è nulla a causa della violazione dell'obbligo di menzionare tali vantaggi negli statuti (consid. 2.2).</w:t>
      </w:r>
    </w:p>
    <w:p>
      <w:pPr>
        <w:pStyle w:val="Heading2"/>
      </w:pPr>
      <w:r>
        <w:t>Erwägungen</w:t>
      </w:r>
    </w:p>
    <w:p>
      <w:r>
        <w:rPr>
          <w:b/>
        </w:rPr>
        <w:t>E. 2</w:t>
      </w:r>
    </w:p>
    <w:p>
      <w:r>
        <w:t>Das Obergericht hat festgestellt, dass die Alters- und Witwenrenten, welche die Gesellschaft in den Verträgen vom 22. April 1965 und 26. Juli 1975 den Verwaltungsratsmitgliedern zugesichert hat, über das hinaus gingen, was einem unbeteiligten Dritten als Arbeitnehmer eingeräumt worden wäre. Die das marktübliche Mass übersteigenden Leistungen betrachtete es als einen Gründervorteil im Sinne von Art. 628 Abs. 3 aOR, für welchen die entsprechenden Publizitätsvorschriften nicht eingehalten wurden, und als eine unzulässige verdeckte Gewinnausschüttung. Demgemäss hat das Obergericht die Aberkennungsklagen im entsprechenden Ausmass gutgeheissen. Die Klägerin wirft dem Obergericht eine Verletzung von Bundesrecht vor, weil ein Verstoss gegen Art. 628 Abs. 3 aOR zur vollständigen Nichtigkeit der Verträge führe. Zudem würde für die Annahme einer blossen Teilnichtigkeit im Sinne von Art. 20 Abs. 2 OR auch der hypothetische Parteiwille zur Aufrechterhaltung der Verträge mit den reduzierten Leistungen fehlen. (...)</w:t>
      </w:r>
    </w:p>
    <w:p>
      <w:r>
        <w:rPr>
          <w:b/>
        </w:rPr>
        <w:t>E. 2.2</w:t>
      </w:r>
    </w:p>
    <w:p>
      <w:r>
        <w:t>Das schweizerische Aktienrecht lässt zu, dass bei der Gründung der Gesellschaft den Gründern oder anderen Personen besondere Vorteile eingeräumt werden, für welche die Gesellschaft aufzukommen hat. Solche Vorteile vermögensrechtlicher Art, welche BGE 131 III 636 S. 639 direkt der begünstigten Person zustehen und nicht mit den von ihr gehaltenen Aktien verknüpft sind, können mannigfaltige Formen annehmen und auch in künftigen periodischen Leistungen bestehen. Art. 628 Abs. 3 aOR verlangte dafür aber wie die gleichlautende Bestimmung im revidierten Aktienrecht, dass die begünstigten Personen in den Statuten mit Namen aufgeführt werden und der gewährte Vorteil nach Inhalt und Wert genau bezeichnet wird. Fehlt es an den erforderlichen Angaben in den Statuten, so ist die Einräumung der Sondervorteile nichtig (Art. 627 Ziff. 9 aOR). Dieser Statutenzwang sichert die Publizität und Transparenz für Dritte und wird ergänzt durch das Erfordernis des Eintrags im Handelsregister (Art. 641 Ziff. 6 aOR). Bereits das alte Recht unterwarf die Zusicherung solcher besonderer Vorteile auch einer besonderen Beschlussfassung (Art. 630 und Art. 636 aOR). Sie konnten bzw. können auch nur bei der Gründung und bei Kapitalerhöhungen, nicht aber durch andere spätere Statutenänderungen eingeräumt werden (SIEGWART, Zürcher Kommentar, N. 69 zu Art. 628 aOR; FORSTMOSER, Schweizerisches Aktienrecht, Bd. I/1, Zürich 1981, § 10 N. 102; VON STEIGER, Das Recht der Aktiengesellschaft in der Schweiz, 4. Aufl. 1970, S. 83 ff.; FORSTMOSER/MEIER-HAYOZ/NOBEL, Schweizerisches Aktienrecht, Bern 1996, § 15 N. 24). Kein besonderer Vorteil im Sinne von Art. 628 Abs. 3 aOR liegt vor, wenn eine von der Gesellschaft erbrachte Leistung ein Entgelt darstellt für eine ihr nach der Gründung zufliessende Leistung. Dies ergibt sich bereits aus dem vom Gesetz verwendeten Begriff des Vorteils, der eine Begünstigung voraussetzt (FORSTMOSER, a.a.O., § 10 N. 93). Liegt ein gemischtes Geschäft vor, welches bereits im Gründungsstadium abgeschlossen wird, so stellt nur der unentgeltliche Teil einen besonderen Vorteil dar und untersteht nur dieser den dafür geltenden Vorschriften. Eine solche Spaltung gemischter Geschäfte findet sich auch in anderen Bereichen der Rechtsordnung (z.B. erbrechtliche Ausgleichung). Was die Klägerin für die Begründung einer vollständigen Nichtigkeit vorbringt, ist nicht stichhaltig. Keine der von ihr zitierten Literaturstellen befasst sich mit der Situation, wo die von der Gesellschaft zu erbringenden Leistungen teils ein normales Entgelt für Gegenleistungen ist und nur der andere Teil einen besonderen Vorteil im Sinne von Art. 628 Abs. 3 aOR darstellt. Demgegenüber bejaht FORSTMOSER im Gutachten, welches die Klägerin eingeholt hat und auf welches sie sich bei ihrer Aberkennungsklage vor BGE 131 III 636 S. 640 allem stützte, für diese Situation ausdrücklich die Möglichkeit einer blossen Teilnichtigkeit. Das Bundesgerichtsurteil 4C.120/1988 vom 22. August 1988 bezieht sich ebenfalls nicht auf eine solche Situation. Streitgegenstand war damals eine Schuldübernahme durch die Gesellschaft für Lohnansprüche aus der Zeit vor der Gründung. Zur Frage der Gegenleistung hat sich das Bundesgericht dort unter dem Gesichtspunkt der Sachübernahme geäussert, da der behauptete Gegenwert der Gesellschaft ebenfalls bei der Gründung zugeflossen wäre. Die bei Sachübernahmen geltende Regelung kann hingegen nicht auf die hier zu beurteilende Situation übertragen werden, da bei Sachübernahmen immer das ganze Geschäft den dafür geltenden besonderen Vorschriften unterworfen ist und kein Anlass zu einer Spaltung besteht. Der blosse Umstand, dass sowohl Art. 628 Abs. 2 wie Art. 628 Abs. 3 aOR den Schutz der Gesellschaftsgläubiger vor der Verplanung oder Verminderung des Gesellschaftsvermögens bezwecken, ist kein genügender Grund, um auch jenen Teil künftiger Leistungen der Gesellschaft, der ein normales Entgelt für eine nach der Gründung ihr zufliessende Gegenleistung darstellt, den Vorschriften über die Gründervorteile zu unterstellen. Unbehelflich ist auch der Hinweis der Klägerin auf die im neuen Aktienrecht eingeführte Formvorschrift für Sacheinlagen, da hier ein dem alten Recht unterstehender Gründervorteil zu beurteilen ist. Für die Vereinbarung zwischen der Gesellschaft und dem Begünstigten zur Begründung solcher Vorteile verlangte das alte Recht keine besondere Form, sondern es stellte dafür nur besondere Publizitätserfordernisse (Erwähnung in den Statuten, Handelsregistereintrag) auf. Das Obergericht ist somit zu Recht davon ausgegangen, dass die Rechtsfolge der Nichteinhaltung der Publizitätserfordernisse in einer blossen Teilnichtigkeit bestehen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