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61</w:t>
      </w:r>
    </w:p>
    <w:p>
      <w:r>
        <w:t>Bundesgericht (BGE), 2004-10-26, FR</w:t>
      </w:r>
    </w:p>
    <w:p>
      <w:r>
        <w:rPr>
          <w:b/>
        </w:rPr>
        <w:t xml:space="preserve">Quelle: </w:t>
      </w:r>
      <w:r>
        <w:t>https://mcp.opencaselaw.ch/entscheid/bge_BGE_131_III_61</w:t>
      </w:r>
    </w:p>
    <w:p>
      <w:r>
        <w:t>FR: ATF 131 III 61</w:t>
      </w:r>
    </w:p>
    <w:p>
      <w:r>
        <w:t>IT: DTF 131 III 61</w:t>
      </w:r>
    </w:p>
    <w:p>
      <w:pPr>
        <w:pStyle w:val="Heading2"/>
      </w:pPr>
      <w:r>
        <w:t>Regeste</w:t>
      </w:r>
    </w:p>
    <w:p>
      <w:r>
        <w:t>Regeste a Art. 27 Abs. 1 des Bundesgesetzes über explosionsgefährliche Stoffe. Begriff des Inhabers im Sinne von Art. 27 Abs. 1 SprstG (E. 2).</w:t>
      </w:r>
    </w:p>
    <w:p>
      <w:r>
        <w:t>Regeste b Art. 60 Abs. 1 OR; Verjährung, Kenntnis des Ersatzpflichtigen. Der Begriff der Kenntnis hängt an sich nicht vom Vorhandensein eines Beweismittels ab. Aber unter gewissen aussergewöhnlichen Umständen, wenn der natürliche Kausalzusammenhang zwischen dem schädigenden Ereignis und dem Schaden nur durch ein wissenschaftliches Gutachten feststellbar ist, hat der Geschädigte erst mit Empfang dieses Gutachtens sichere Kenntnis von der verantwortlichen Person (E. 3).</w:t>
      </w:r>
    </w:p>
    <w:p>
      <w:r>
        <w:t>Regeste a Art. 27 al. 1 de la loi fédérale sur les substances explosibles. Qualité d'exploitant au sens de l'art. 27 al. 1 LExpl (consid. 2).</w:t>
      </w:r>
    </w:p>
    <w:p>
      <w:r>
        <w:t>Regeste b Art. 60 al. 1 CO; prescription, connaissance de l'auteur du dommage. La notion de connaissance ne dépend pas, en soi, de l'existence d'un moyen de preuve. Toutefois, dans certaines circonstances exceptionnelles, lorsque le rapport de causalité naturelle entre l'événement dommageable et le dommage ne peut être établi que par une expertise scientifique, le lésé n'aura une connaissance certaine de la personne responsable qu'à réception de cette expertise (consid. 3).</w:t>
      </w:r>
    </w:p>
    <w:p>
      <w:r>
        <w:t>Regesto a Art. 27 cpv. 1 della legge federale sugli esplosivi. Qualità di proprietario giusta l'art. 27 cpv. 1 LEspl (consid. 2).</w:t>
      </w:r>
    </w:p>
    <w:p>
      <w:r>
        <w:t>Regesto b Art. 60 cpv. 1 CO; prescrizione, conoscenza dell'autore del danno. La nozione di conoscenza non dipende, di per sé, dall'esistenza di un mezzo di prova. Tuttavia, in talune circostanze eccezionali, quando il rapporto di causalità naturale tra l'evento pregiudizievole e il danno può solo essere stabilito con una perizia scientifica, la parte lesa acquisisce conoscenza sicura della persona responsabile unicamente con la ricezione di tale perizia (consid. 3).</w:t>
      </w:r>
    </w:p>
    <w:p>
      <w:pPr>
        <w:pStyle w:val="Heading2"/>
      </w:pPr>
      <w:r>
        <w:t>Erwägungen</w:t>
      </w:r>
    </w:p>
    <w:p>
      <w:r>
        <w:rPr>
          <w:b/>
        </w:rPr>
        <w:t>E. 2</w:t>
      </w:r>
    </w:p>
    <w:p>
      <w:r>
        <w:t>Les défenderesses contestent avoir la qualité d'exploitantes au sens de l'art. 27 de la loi fédérale du 25 mars 1977 sur les substances explosibles (LExpl; RS 941.41). Elles estiment que la responsabilité objective aggravée instituée par cette disposition ne saurait viser les personnes qui n'ont pas la maîtrise effective de l'activité dangereuse, même si elles engrangent les bénéfices en résultant et en supportent le risque économique. Les défenderesses rappellent avoir en l'espèce confié, contre rémunération, la direction technique des travaux à l'entreprise B. et leur réalisation à l'entreprise C. et s'être entièrement fondées sur les avis de ces deux entreprises pour prendre les décisions relatives à l'exploitation de la carrière. Elles soutiennent que l'entreprise B. dirigeait effectivement le chantier et assumait par conséquent la responsabilité de l'ensemble de l'exploitation de la carrière.</w:t>
      </w:r>
    </w:p>
    <w:p>
      <w:r>
        <w:rPr>
          <w:b/>
        </w:rPr>
        <w:t>E. 2.1</w:t>
      </w:r>
    </w:p>
    <w:p>
      <w:r>
        <w:t>A teneur de l' art. 27 LExpl , l'exploitant d'une entreprise ou d'une installation où sont fabriqués, entreposés ou utilisés des matières explosibles ou des engins pyrotechniques répond des dommages occasionnés par leur explosion. Les dispositions générales du code des obligations traitant des actes illicites sont au surplus BGE 131 III 61 S. 65 applicables (al. 1). Celui qui prouve que le dommage est dû à la force majeure ou à la faute grave du lésé ou d'un tiers, est libéré de sa responsabilité (al. 2). La responsabilité de la Confédération, des cantons et des communes est également soumise à ces dispositions (al. 3).</w:t>
      </w:r>
    </w:p>
    <w:p>
      <w:r>
        <w:rPr>
          <w:b/>
        </w:rPr>
        <w:t>E. 2.2</w:t>
      </w:r>
    </w:p>
    <w:p>
      <w:r>
        <w:t>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 ATF 128 III 113 consid. 2a p. 114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 ATF 128 I 34 consid. 3b p. 40 s.; ATF 121 III 219 consid. 1d/aa p. 224 s.).</w:t>
      </w:r>
    </w:p>
    <w:p>
      <w:r>
        <w:rPr>
          <w:b/>
        </w:rPr>
        <w:t>E. 2.3</w:t>
      </w:r>
    </w:p>
    <w:p>
      <w:r>
        <w:t>La notion "d'exploitant d'une entreprise ou d'une installation" doit être déduite de la ratio legis de l' art. 27 LExpl . Cette norme de responsabilité n'a été introduite qu'au cours des travaux parlementaires dans une loi destinée principalement à mettre sous contrôle l'ensemble du commerce civil des matières explosives et accessoirement à favoriser la prévention des accidents (BO 1976 CE p. 170/171), après que les Chambres eurent renoncé à l'obligation générale d'assurance responsabilité civile prévue dans le projet du Conseil fédéral, considérée comme difficilement praticable (sur la genèse de cette règle, cf. WIDMER, Fonction et évolution de la responsabilité pour risque, RDS 96/1977 I p. 435 s.; TERCIER, Une BGE 131 III 61 S. 66 nouvelle règle de responsabilité: l'art. 27 de la loi sur les explosifs, RSJ 76/1980 p. 341 ss, spécialement p. 341/342). Selon l'intention du législateur, le dommage inéluctable résultant de la manipulation d'explosifs doit être supporté par celui qui profite de cette activité particulièrement dangereuse et néanmoins tolérée (BO 1976 CN p. 945 et 947). L' art. 27 al. 1 LExpl institue ainsi une responsabilité objective aggravée (Gefährdungshaftung) en raison du danger particulier qu'entraîne l'exercice d'une activité liée à l'utilisation d'explosifs (DESCHENAUX/TERCIER, La responsabilité civile, 2 e éd., Berne 1982, § 17 n. 120 s.; TERCIER, op. cit., p. 342; REY, Ausservertragliches Haftpflichtrecht, 3 e éd., Zurich 2003, n. 1257; KELLER, Haftpflicht im Privatrecht, T. I, 6 e éd., Berne 2002, p. 335 s.; HONSELL, Schweizerisches Haftpflichtrecht, 3 e éd., Zurich 2000, § 22 n. 48 s.; idem , Die Reform der Gefährdungshaftung, RDS 116/ 1997 I p. 300/301). Selon la jurisprudence, la responsabilité causale à raison du risque doit être supportée, en vertu du principe d'intérêt ou d'utilité, par celui qui tire un avantage particulier et direct de l'activité dangereuse ( ATF 129 III 102 consid. 2.2 p. 104 et les références). En effet, dans les cas où une situation ou une activité présentant un risque élevé est tolérée par la loi, l'entrepreneur ou le bénéficiaire doit, en compensation du privilège qui lui est accordé d'exercer ou d'exploiter cette activité dangereuse, en assumer les conséquences lorsque le risque se réalise et cause un préjudice à autrui. Le critère d'imputation est essentiellement économique, mais l'avantage tiré peut également être idéal (WIDMER, Privatrechtliche Haftung, in Münch/ Geiser [éd.], Schaden-Haftung-Versicherung, Bâle/Genève/Munich, 1999, n. 2.11; WIDMER/WESSNER, Révision et unification du droit de la responsabilité civile, Rapport explicatif, Office fédéral de la justice [éd.] 1999, n. 1.2.2.1.3 et n. 2.4.4.5). L'exploitant au sens de l' art. 27 al. 1 LExpl est donc celui qui, en contrepartie du privilège qui lui est accordé d'exercer une activité comprenant un degré élevé de risque, en tire avantage et a un pouvoir de disposition réel direct, en ce sens qu'il peut décider d'exercer cette activité à tout moment en fonction de ses propres besoins et dans son propre intérêt (cf. aussi dans ce sens: OFTINGER/STARK, Schweizerisches Haftpflichtrecht, T. II, partie spéciale, Zurich 1987, § 31 n. 73/74; TERCIER, op. cit., p. 344). S'agissant de l'utilisation d'explosifs dans l'exploitation d'une carrière, activité présentant un danger particulièrement élevé, le BGE 131 III 61 S. 67 responsable au sens de la loi est ainsi celui qui tire un avantage économique de la carrière et qui a le pouvoir de décider en tout temps d'effectuer des tirs d'explosifs ou de les faire cesser selon ses propres besoins et dans son propre intérêt. Lorsque celui qui assume les frais et les risques recourt à un spécialiste, le critère du pouvoir de disposition et de la compétence de donner des instructions techniques ne l'emporte pas sur le critère économique, contrairement à ce que semblent affirmer OFTINGER et STARK (op. cit., § 31 n. 75). Le responsable demeure celui qui tire avantage de l'activité dangereuse conformément au principe de la compensation "utilité-risque" (Prinzip der "Nutzen-Risiko"-Kompensation) qui est à la base de la responsabilité objective aggravée de la LExpl; les tiers auxquels il a été fait appel ne sont que des auxiliaires de l'exploitant.</w:t>
      </w:r>
    </w:p>
    <w:p>
      <w:r>
        <w:rPr>
          <w:b/>
        </w:rPr>
        <w:t>E. 2.4</w:t>
      </w:r>
    </w:p>
    <w:p>
      <w:r>
        <w:t>En l'espèce, la cour cantonale a retenu que les défenderesses supportaient les risques économiques et encaissaient les bénéfices résultant de l'exploitation de la carrière. Elles avaient confié la direction technique des travaux et leur réalisation à des entreprises, agissant ainsi en qualité de maîtres de l'ouvrage. Elles assumaient la direction générale du chantier, devaient ratifier les appels d'offres, être informées des travaux qui seraient confiés à des sous-traitants, se réservant le droit de les accepter. Elles devaient procéder pendant toute la durée du chantier à différents contrôles. Elles pouvaient à tout moment interrompre les tirs, car elles étaient responsables de l'ensemble du chantier. Elles avaient le contrôle de l'activité dangereuse et exerçaient la surveillance générale. Dans ces circonstances, les défenderesses tirent avantage de l'activité dangereuse et disposent réellement et directement de celle-ci en ce sens qu'elles peuvent décider en tout temps d'effectuer des tirs d'explosifs ou de les faire cesser selon leurs propres besoins et dans leur propre intérêt. C'est donc à raison que la cour cantonale a qualifié les défenderesses d'exploitantes au sens de l' art. 27 LExpl .</w:t>
      </w:r>
    </w:p>
    <w:p>
      <w:r>
        <w:rPr>
          <w:b/>
        </w:rPr>
        <w:t>E. 3</w:t>
      </w:r>
    </w:p>
    <w:p>
      <w:r>
        <w:t>Les défenderesses soutiennent que l'action en responsabilité des demandeurs est prescrite, puisque ceux-ci avaient une connaissance suffisante du dommage et de la personne qui en était l'auteur au mois de septembre 1998 au plus tard et qu'ils n'ont ouvert action que le 30 avril 2001. En d'autres termes, ils ne pouvaient attendre le rapport d'expertise du 23 mai 2000 et agir ensuite dans le délai d'un an. BGE 131 III 61 S. 68</w:t>
      </w:r>
    </w:p>
    <w:p>
      <w:r>
        <w:rPr>
          <w:b/>
        </w:rPr>
        <w:t>E. 3.1</w:t>
      </w:r>
    </w:p>
    <w:p>
      <w:r>
        <w:t>La prescription de l'action en responsabilité fondée sur l' art. 27 LExpl est régie par les dispositions générales du code des obligations relatives aux actes illicites (art. 27 al. 1 in fine LExpl). A teneur de l' art. 60 al. 1 CO , l'action en dommages-intérêts ou en paiement d'une somme d'argent à titre de réparation du tort moral se prescrit par un an à compter du jour où la partie lésée a eu connaissance du dommage ainsi que de la personne qui en est l'auteur et, dans tous les cas, par dix ans dès le jour où le fait dommageable s'est produit.</w:t>
      </w:r>
    </w:p>
    <w:p>
      <w:r>
        <w:rPr>
          <w:b/>
        </w:rPr>
        <w:t>E. 3.1.1</w:t>
      </w:r>
    </w:p>
    <w:p>
      <w:r>
        <w:t>Selon la jurisprudence relative à l' art. 60 al. 1 CO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ATF 111 II 55 consid. 3a p. 57 s. et les arrêts cités).</w:t>
      </w:r>
    </w:p>
    <w:p>
      <w:r>
        <w:rPr>
          <w:b/>
        </w:rPr>
        <w:t>E. 3.1.2</w:t>
      </w:r>
    </w:p>
    <w:p>
      <w:r>
        <w:t>Quant à la connaissance de la personne auteur du dommage au sens de l' art. 60 al. 1 CO ,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(cf. ATF 96 II 39 consid. 2a p. 41; ATF 111 II 55 consid. 3a p. 57; ATF 112 II 118 consid. 4 p. 122 s.; ATF 114 II 253 consid. 2a p. 255 s.). En revanche, il n'est pas nécessaire qu'il connaisse également le fondement juridique de l'action ( ATF 82 II 43 consid. 1a p. 44 s.; arrêt 4C.234/1999 du 12 janvier 2000, consid. 5c/cc, publié in SJ 2000 I p. 421 s.; arrêt 4C.43/1993 du 7 avril 1994, consid. 5c, publié in SJ 1995 p. 167 s.). Par ailleurs, il n'y a pas encore de "connaissance" au moment où le lésé aurait pu découvrir la personne de l'auteur en faisant preuve de l'attention commandée par les circonstances, et ce à tout le moins s'il n'est pas renseigné sur les éléments essentiels de sa prétention (cf. ATF 111 II 55 consid. 3a p. 57 s.; à propos de l' art. 67 al. 1 CO , ATF 109 II 433 consid. 2 p. 434 s.). La notion de "connaissance" ne dépend pas, en soi, de l'existence d'un moyen de preuve (BREHM, Commentaire bernois, n. 61 ad art. 60 CO ; contra: OSER/ SCHÖNENBERGER, Commentaire zurichois, n. 13 ad art. 60 CO ). BGE 131 III 61 S. 69 Toutefois, dans certaines circonstances exceptionnelles, lorsque le rapport de causalité naturelle ne peut être établi que par une expertise scientifique, le lésé n'aura une connaissance certaine de la personne responsable qu'à réception de cette expertise. L'introduction par le lésé d'une procédure de preuve à futur (qui n'a pas pour effet d'interrompre la prescription, cf. art. 135 ch. 2 CO et ATF 93 II 498 consid. 3 p. 502 s.) n'impose pas de conclure à la connaissance de la personne de l'auteur.</w:t>
      </w:r>
    </w:p>
    <w:p>
      <w:r>
        <w:rPr>
          <w:b/>
        </w:rPr>
        <w:t>E. 3.2</w:t>
      </w:r>
    </w:p>
    <w:p>
      <w:r>
        <w:t>Les défenderesses affirment que la simultanéité entre les tirs de mines et l'apparition des fissures a permis aux demandeurs d'établir un lien de causalité entre l'exploitation de la carrière et leurs dommages, de sorte qu'ils étaient en mesure d'intenter une action en justice bien avant la réception du rapport d'expertise, le 23 mai 2000. La question de la responsabilité des défenderesses avait en outre été évoquée lors des séances d'information organisées les 14 mai et 25 août 1997. Le dommage ayant cessé d'évoluer en septembre 1998 au plus tard, le délai d'une année avait commencé à courir à cette date.</w:t>
      </w:r>
    </w:p>
    <w:p>
      <w:r>
        <w:rPr>
          <w:b/>
        </w:rPr>
        <w:t>E. 3.3</w:t>
      </w:r>
    </w:p>
    <w:p>
      <w:r>
        <w:t>D'après les faits retenus par l'autorité cantonale, il apparaît que les demandeurs ont d'emblée supposé que les tirs de mines effectués dans la carrière étaient à l'origine des fissures qui lézardaient leurs murs. Ils ont en effet rapidement sollicité que soient effectuées des mesures d'intensité des vibrations lors des tirs et écrit plusieurs courriers aux défenderesses à ce sujet. Les résultats des mesures se sont toutefois révélés inférieurs aux limites admissibles, permettant notamment aux défenderesses de nier, le 25 août 1997, tout lien de causalité entre les fissures et l'exploitation de la carrière. Souhaitant connaître l'origine exacte de ces dégâts, les demandeurs ont alors requis du tribunal de district, le 30 août 1997, l'ouverture d'une procédure de preuve à futur. L'expertise effectuée dans le cadre de cette procédure a conclu qu'une partie des fissures résultait des tirs de mines, qui avaient déstabilisé le terrain puis entraîné le glissement de celui-ci. L'expert a en outre relevé qu'il était difficile pour un profane d'établir un lien de causalité entre les tirs et les fissures, étant donné la distance de 500 mètres séparant les bâtiments endommagés et la carrière, le respect de la norme SN 640 312a, ainsi que la faible intensité des vibrations enregistrées lors des tirs. L'autorité cantonale a par conséquent retenu que les demandeurs n'avaient disposé d'éléments BGE 131 III 61 S. 70 suffisants pour agir en responsabilité contre les défenderesses qu'à réception du rapport d'expertise établissant le rapport de causalité naturelle entre les tirs et les fissures. Dans ces circonstances, qui lient le Tribunal fédéral ( art. 63 al. 2 OJ ), l'autorité cantonale a correctement appliqué la jurisprudence relative à l' art. 60 al. 1 CO en considérant que le délai de prescription d'une année n'avait commencé à courir qu'au moment où les demandeurs avaient été informés, par le biais de l'expertise, des causes relativement complexes de l'apparition des fissures dans leurs maisons. En effet, jusqu'à la réception de l'expertise, les demandeurs en étaient réduits à supposer que l'exploitation de la carrière était à l'origine de leur dommage. Or selon la jurisprudence, une supposition du lésé quant à la personne responsable ne suffit pas pour que le délai de prescription relatif d'une année commence à courir. Le grief sera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