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III 606</w:t>
      </w:r>
    </w:p>
    <w:p>
      <w:r>
        <w:t>Bundesgericht (BGE), 2005-08-05, FR</w:t>
      </w:r>
    </w:p>
    <w:p>
      <w:r>
        <w:rPr>
          <w:b/>
        </w:rPr>
        <w:t xml:space="preserve">Quelle: </w:t>
      </w:r>
      <w:r>
        <w:t>https://mcp.opencaselaw.ch/entscheid/bge_BGE_131_III_606</w:t>
      </w:r>
    </w:p>
    <w:p>
      <w:r>
        <w:t>FR: ATF 131 III 606</w:t>
      </w:r>
    </w:p>
    <w:p>
      <w:r>
        <w:t>IT: DTF 131 III 606</w:t>
      </w:r>
    </w:p>
    <w:p>
      <w:pPr>
        <w:pStyle w:val="Heading2"/>
      </w:pPr>
      <w:r>
        <w:t>Regeste</w:t>
      </w:r>
    </w:p>
    <w:p>
      <w:r>
        <w:t>Regeste Vereinbarung über die Frühpensionierung einer Arbeitnehmerin; Vertragsauslegung (Art. 18 Abs. 1 OR); Garantievertrag (Art. 111 OR). Zusammenstellung der von der Rechtsprechung entwickelten Grundsätze der Vertragsauslegung (E. 4.1); Grenzen der wortlautbezogenen Auslegung (E. 4.2). Garantievertrag, der sich aus dem vom Arbeitgeber in eigenem Namen gegenüber der Arbeitnehmerin als Gegenleistung zu ihrer Einwilligung zur Frühpensionierung erklärten Versprechen ergibt, dass ihr ein Dritter während der Frühpensionierung Leistungen erbringen wird (E. 4.2.1, 4.2.2 und 5). Präzisierung der Berechnung der Ansprüche, welche die Arbeitnehmerin aus dem vorgenannten Versprechen ableiten kann (E. 6).</w:t>
      </w:r>
    </w:p>
    <w:p>
      <w:r>
        <w:t>Regeste Accord au sujet de la mise à la retraite anticipée d'une travailleuse; interprétation (art. 18 al. 1 CO); porte-fort (art. 111 CO). Rappel des principes jurisprudentiels relatifs à l'interprétation des contrats (consid. 4.1); limites assignées à l'interprétation littérale (consid. 4.2). Porte-fort consistant dans la promesse faite, en son propre nom, par l'employeur à la travailleuse, en contrepartie de l'acceptation par celle-ci de sa mise à la retraite anticipée, qu'un tiers lui versera des prestations de préretraite (consid. 4.2.1, 4.2.2 et 5). Précisions concernant le calcul des prestations auxquelles la demanderesse peut prétendre sur la base de ladite promesse (consid. 6).</w:t>
      </w:r>
    </w:p>
    <w:p>
      <w:r>
        <w:t>Regesto Accordo concernente il pensionamento anticipato di una lavoratrice; interpretazione (art. 18 cpv. 1 CO); promessa della prestazione di un terzo (art. 111 CO). Riepilogo dei principi giurisprudenziali relativi all'interpretazione di contratti (consid. 4.1); limiti di un'interpretazione letterale (consid. 4.2). Promessa della prestazione di un terzo in cui il datore di lavoro promette in nome proprio a una lavoratrice, quale controprestazione per l'accettazione del pensionamento anticipato, il versamento di prestazioni di prepensionamento da parte del terzo (consid. 4.2.1, 4.2.2 e 5). Precisazione concernente il calcolo delle prestazioni che l'attrice può domandare sulla base della predetta promessa (consid. 6).</w:t>
      </w:r>
    </w:p>
    <w:p>
      <w:pPr>
        <w:pStyle w:val="Heading2"/>
      </w:pPr>
      <w:r>
        <w:t>Erwägungen</w:t>
      </w:r>
    </w:p>
    <w:p>
      <w:r>
        <w:rPr>
          <w:b/>
        </w:rPr>
        <w:t>E. 3</w:t>
      </w:r>
    </w:p>
    <w:p>
      <w:r>
        <w:t>Dans la présente espèce, la question de l'applicabilité de l' art. 333 CO ne se pose pas, dès lors que, postérieurement à la reprise de l'entreprise par la défenderesse, de nouveaux contrats de travail ont sans conteste été passés, qui désignaient expressément celle-ci comme employeuse. Que la défenderesse ait repris les contrats de travail n'est ainsi pas douteux. Eu égard au texte clair du contrat de travail liant les parties, il n'est pas non plus contestable que c'est bien la défenderesse, et non la société-mère, qui a revêtu la qualité d'employeuse, en dépit du fait que cette dernière versait les salaires et établissait les décomptes y relatifs. Par conséquent, les arguments de la défenderesse qui se rapportent à l' art. 333 CO tombent à faux.</w:t>
      </w:r>
    </w:p>
    <w:p>
      <w:r>
        <w:rPr>
          <w:b/>
        </w:rPr>
        <w:t>E. 4.1</w:t>
      </w:r>
    </w:p>
    <w:p>
      <w:r>
        <w:t>La mise à la retraite anticipée de la demanderesse s'est faite sur la base d'une lettre de la défenderesse, dans laquelle celle-ci indiquait le moment où l'activité prendrait fin et précisait les prestations auxquelles la demanderesse aurait droit depuis lors. Du point de vue juridique, cette lettre consistait en une offre de modification des rapports contractuels en vigueur, à savoir le contrat de travail. La demanderesse a accepté cette offre. Il en est résulté un nouveau contrat qui doit être interprété. BGE 131 III 606 S. 611 En présence d'un litige sur l'interprétation d'un contrat, le juge doit tout d'abord s'efforcer de déterminer la commune et réelle intention des parties, sans s'arrêter aux expressions ou dénominations inexactes dont elles ont pu se servir, soit par erreur, soit pour déguiser la nature véritable de la convention ( art. 18 al. 1 CO ; ATF 128 III 419 consid. 2.2 p. 422; ATF 127 III 444 consid. 1b). Déterminer ce qu'un cocontractant savait et voulait au moment de conclure relève des constatations de fait qui lient le Tribunal fédéral ( ATF 128 III 419 consid. 2.2 p. 422; ATF 118 II 58 consid. 3a). Si la cour cantonale parvient à se convaincre d'une commune et réelle intention des parties, il s'agit d'une constatation de fait qui, sous réserve des exceptions prévues aux art. 63 al. 2 et 64 OJ , ne peut être remise en cause dans un recours en réforme ( ATF 128 III 419 consid. 2.2 p. 422; ATF 126 III 25 consid. 3c, ATF 126 III 375 consid. 2e/aa). La recherche de la volonté réelle des parties est qualifiée d'interprétation subjective ( ATF 125 III 305 consid. 2b p. 308). Si la volonté réelle des parties ne peut pas être établie ou si les volontés intimes divergent, le juge doit interpréter les déclarations et les comportements selon la théorie de la confiance, en recherchant comment une déclaration ou une attitude pouvait être comprise de bonne foi en fonction de l'ensemble des circonstances (interprétation dite objective; ATF 128 III 419 consid. 2.2 p. 422; ATF 127 III 444 consid. 1b; ATF 126 III 59 consid. 5b p. 68, ATF 126 III 375 consid. 2e/aa p. 380; ATF 125 III 305 consid. 2b p. 308). L'application du principe de la confiance est une question de droit que le Tribunal fédéral, saisi d'un recours en réforme, peut examiner librement ( ATF 128 III 419 consid. 2.2 p. 422; ATF 127 III 248 consid. 3a; ATF 126 III 25 consid. 3c, ATF 126 III 59 consid. 5a, 375 consid. 2e/aa). Relève aussi du droit le principe selon lequel l'interprétation subjective a la priorité sur l'interprétation objective; dès lors, la violation de ce principe peut être sanctionnée par la juridiction fédérale de réforme ( ATF 125 III 305 consid. 2b p. 308; ATF 121 III 118 consid. 4b/aa).</w:t>
      </w:r>
    </w:p>
    <w:p>
      <w:r>
        <w:rPr>
          <w:b/>
        </w:rPr>
        <w:t>E. 4.2</w:t>
      </w:r>
    </w:p>
    <w:p>
      <w:r>
        <w:t>Pour interpréter une clause contractuelle selon le principe de la confiance, il convient de partir en premier lieu du texte de ladite clause. En règle générale, les expressions et termes choisis par les cocontractants devront être compris dans leur sens objectif. Un texte clair prévaudra en principe, dans le processus d'interprétation, contre les autres moyens d'interprétation. Toutefois, il ressort de l' art. 18 al. 1 CO que le sens d'un texte, même clair, n'est pas forcément déterminant et que l'interprétation purement littérale est au contraire prohibée. En effet, même si la teneur d'une clause BGE 131 III 606 S. 612 contractuelle paraît claire à première vue, il peut résulter d'autres conditions du contrat, du but poursuivi par les parties ou d'autres circonstances que le texte de la clause litigieuse ne restitue pas exactement le sens de l'accord conclu ( ATF 128 III 265 consid. 3a; ATF 127 III 444 consid. 1b). Pour cette raison, la jurisprudence actuelle ne considère pas comme nécessairement décisif en soi le fait que les parties ont eu recours à des expressions juridiques précises (pour l'opinion inverse, voir encore l' ATF 111 II 284 consid. 2 p. 287 et CHRISTOPH M. PESTALOZZI, Commentaire bernois, n. 32 in fine ad art. 111 CO , qui se réfère à ce précédent). En particulier, on ne saurait faire fond, sans plus ample examen, sur le texte d'une clause lorsque la partie qu'elle oblige est une personne étrangère ou quand cette partie a manifesté sa volonté dans une autre langue que la sienne. Cependant, une interprétation littérale stricte pourra se justifier à l'égard de personnes qui sont rompues à l'usage de termes utilisés dans certaines branches ( ATF 129 III 702 consid. 2.4.1 p. 708 et les arrêts cités). La défenderesse souligne, à juste titre, que le contrat litigieux indique expressément que certaines prestations doivent être effectuées par Swissair. Il ne faut cependant pas perdre de vue qu'en l'occurrence, la cocontractante de la demanderesse est la défenderesse et non Swissair.</w:t>
      </w:r>
    </w:p>
    <w:p>
      <w:r>
        <w:rPr>
          <w:b/>
        </w:rPr>
        <w:t>E. 4.2.1</w:t>
      </w:r>
    </w:p>
    <w:p>
      <w:r>
        <w:t>De ce que les sociétés formant partie d'un groupe de sociétés ont une personnalité juridique propre, il découle en principe que seules peuvent agir pour l'une de ces sociétés les personnes qui ont le pouvoir de la représenter, resp. qui occupent la position d'organes au sein de ladite société et agissent pour elle (JEAN NICOLAS DRUEY/ALEXANDER VOGEL, Das schweizerische Konzernrecht in der Praxis der Gerichte, Zurich 1999, p. 239 s.). A cet égard, les principes généraux en matière de pouvoir de représentation sont applicables. Seul un motif particulier pourrait justifier de s'en écarter dans le sens de la reconnaissance d'un pouvoir de représentation plus large. Un tel motif peut consister dans une procuration. Celle-ci peut avoir été délivrée expressément par la société-mère ou résulter des circonstances (procuration apparente; "Anscheinsvollmacht" ou "Duldungsvollmacht" selon la terminologie allemande). Cependant, en l'espèce, la défenderesse n'allègue même pas l'existence d'une procuration expresse ou tacite. Il faut en déduire que le contrat litigieux ne pouvait pas obliger Swissair. Autrement dit, c'est bien en son propre nom que la défenderesse a conclu ce contrat avec la demanderesse. BGE 131 III 606 S. 613</w:t>
      </w:r>
    </w:p>
    <w:p>
      <w:r>
        <w:rPr>
          <w:b/>
        </w:rPr>
        <w:t>E. 4.2.2</w:t>
      </w:r>
    </w:p>
    <w:p>
      <w:r>
        <w:t>Cela étant, il va de soi que la demanderesse pouvait partir de l'idée que la défenderesse ne lui avait pas simplement fait miroiter les prestations afférentes à son futur statut de préretraitée, mais qu'elle avait pris l'engagement ferme de les lui verser. La défenderesse n'exprime d'ailleurs pas un autre avis sur ce point dans ses écritures. Elle ne soutient pas que la demanderesse n'aurait pas acquis de créance relativement à ces prestations. Son argumentation repose bien plutôt sur la thèse selon laquelle le sujet passif de cette créance était une autre personne qu'elle. Cependant, comme la défenderesse ne pouvait pas contraindre un tiers à exécuter l'obligation litigieuse, la demanderesse devait et pouvait comprendre la lettre de la défenderesse en ce sens que cette dernière lui promettait, entre autres choses, que la société-mère lui verserait les prestations mentionnées dans ce courrier. On est donc en présence d'un porte-fort, régi par l' art. 111 CO . En matière de porte-fort, la garantie est exigible dès que la prestation du tiers n'est pas effectuée au moment convenu. Le bénéficiaire de la promesse n'est pas tenu de mettre en demeure le tiers (PESTALOZZI, op. cit., n. 12 ad art. 111 CO ), ni de le rechercher (SILVIA TEVINI DU PASQUIER, Commentaire romand, n. 14 ad art. 111 CO ). Que le promettant ne soit pas obligé de réaliser le fait promis, mais uniquement de réparer le dommage que le bénéficiaire subit parce que le tiers n'a pas adopté un comportement conforme à la promesse ne joue aucun rôle en l'espèce. En effet, la promesse avait pour objet une prestation pécuniaire, de sorte que son inexécution entraînait l'obligation, à charge du promettant, de payer des dommages-intérêts de même nature et de même ampleur, auxquels viendraient s'ajouter, le cas échéant, l'intérêt moratoire et d'autres frais. Il est, dès lors, sans importance que, dans le contrat en cause, la défenderesse ait promis, en partie, ses propres prestations et, en partie, celles d'une autre société du groupe. Il n'est pas non plus décisif de déterminer si la défenderesse a voulu s'engager à verser elle-même les prestations promises, resp. si la demanderesse pouvait interpréter dans ce sens la manifestation de volonté émise par sa cocontractante, ou si elle a seulement voulu promettre à la demanderesse que les prestations de préretraite lui seraient versées par une autre société du groupe.</w:t>
      </w:r>
    </w:p>
    <w:p>
      <w:r>
        <w:rPr>
          <w:b/>
        </w:rPr>
        <w:t>E. 5</w:t>
      </w:r>
    </w:p>
    <w:p>
      <w:r>
        <w:t>La défenderesse ne peut pas être suivie lorsqu'elle fait grief à la Cour d'appel d'avoir appliqué de manière erronée l' art. 176 CO . BGE 131 III 606 S. 614 En effet, la cour cantonale s'est abstenue, à bon droit, de citer cette disposition dans son arrêt. Dans le cas particulier, la défenderesse n'a pas repris la dette d'une autre société. Elle a bien plutôt confirmé et détaillé, dans sa lettre du 23 juillet 1998, un engagement qu'elle avait de toute évidence pris elle-même de manière ferme envers la demanderesse lors d'entretiens antérieurs. C'est donc de l'accord passé à cette occasion que dérivent les prestations litigieuses. Quoi qu'en dise la défenderesse, dans la lettre précitée, elle ne se contentait pas de donner à la demanderesse de simples renseignements sur les prétentions que cette dernière pourrait éventuellement faire valoir contre de quelconques tiers. Bien plus, elle y promettait à l'intéressée que ces prestations lui seraient versées. La défenderesse n'a pas conseillé la demanderesse. Elle a négocié avec elle un accord concernant l'extinction des rapports de travail et, dans le cadre de cette négociation, lui a offert les prestations contenues dans ladite lettre à titre de contrepartie de l'acceptation, par la travailleuse, de sa mise en préretraite. Une reprise de dette aurait, en revanche, supposé que l'engagement relatif à ces prestations résultât d'un accord passé antérieurement entre la demanderesse et un tiers, ce qui n'est même pas allégué par l'intéressée.</w:t>
      </w:r>
    </w:p>
    <w:p>
      <w:r>
        <w:rPr>
          <w:b/>
        </w:rPr>
        <w:t>E. 6</w:t>
      </w:r>
    </w:p>
    <w:p>
      <w:r>
        <w:t>Sur le plan quantitatif, enfin, la défenderesse avance l'argument selon lequel la demanderesse, à partir du moment où elle percevrait la rente versée par la CGP au titre de la retraite anticipée, n'aurait plus droit, jusqu'à ce qu'elle atteigne l'âge de la retraite ordinaire, qu'à un montant maximum de 1'990 fr. par mois. Cet argument tombe à faux. En effet, les prestations de la caisse de prévoyance ne doivent être imputées que si et dans la mesure où elles constituent des prestations supplémentaires. En revanche, l'imputation ne se justifie pas lorsque, en raison du versement anticipé des prestations de vieillesse, les prestations futures s'en trouvent réduites. Au demeurant, contrairement à ce que soutient la défenderesse, il ne ressort pas de la convention liant les parties que seule la prestation transitoire 2 ("Pont AVS") est versée dès qu'une quelconque prestation est effectuée par la caisse de prévoyance. Le passage pertinent de la lettre du 23 juillet 1998 est ainsi libellé: "Durant la période du 01.08.2003 (début de la retraite anticipée CGP) jusqu'au 31.07.2004 inclus (âge de la retraite AVS), Swissair vous BGE 131 III 606 S. 615 versera mensuellement un montant de fr. 1'990.-". Du passage cité, on ne peut rien déduire d'autre que la fixation de la date à partir de laquelle ce montant devait être versé et l'indication du motif, énoncé entre parenthèses, pour lequel cette date a été retenue.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