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595</w:t>
      </w:r>
    </w:p>
    <w:p>
      <w:r>
        <w:t>Bundesgericht (BGE), 2005-06-02, DE</w:t>
      </w:r>
    </w:p>
    <w:p>
      <w:r>
        <w:rPr>
          <w:b/>
        </w:rPr>
        <w:t xml:space="preserve">Quelle: </w:t>
      </w:r>
      <w:r>
        <w:t>https://mcp.opencaselaw.ch/entscheid/bge_BGE_131_III_595</w:t>
      </w:r>
    </w:p>
    <w:p>
      <w:r>
        <w:t>FR: ATF 131 III 595</w:t>
      </w:r>
    </w:p>
    <w:p>
      <w:r>
        <w:t>IT: DTF 131 III 595</w:t>
      </w:r>
    </w:p>
    <w:p>
      <w:pPr>
        <w:pStyle w:val="Heading2"/>
      </w:pPr>
      <w:r>
        <w:t>Regeste</w:t>
      </w:r>
    </w:p>
    <w:p>
      <w:r>
        <w:t>Regeste Im Ausland begründeter Eigentumsvorbehalt; kein Registereintrag in der Schweiz (Art. 715 Abs. 1 ZGB; Art. 102 Abs. 2 IPRG). Dem Registereintrag gemäss Art. 715 Abs. 1 ZGB kommt nach konstanter Rechtsprechung Ordre-public-Charakter zu, so dass der im Ausland begründete Eigentumsvorbehalt seine Gültigkeit nach Ablauf der dreimonatigen Schonfrist des Art. 102 Abs. 2 IPRG verliert (E. 2.3.2). Der Aussonderungsanspruch setzt einen gültigen Eigentumsvorbehalt voraus, den der Ansprecher zu beweisen hat (E. 2.3.3).</w:t>
      </w:r>
    </w:p>
    <w:p>
      <w:r>
        <w:t>Regeste Réserve de propriété constituée à l'étranger; absence d'inscription dans le registre des pactes de réserve de propriété en Suisse (art. 715 al. 1 CC; art. 102 al. 2 LDIP). Selon une jurisprudence constante, l'inscription dans le registre prévu par l'art. 715 al. 1 CC a un caractère d'ordre public, si bien qu'une réserve de propriété constituée à l'étranger perd sa validité après l'écoulement du délai de trois mois de l'art. 102 al. 2 LDIP (consid. 2.3.2). La revendication dans la faillite présuppose une réserve de propriété valable, dont il appartient au tiers revendiquant d'apporter la preuve (consid. 2.3.3).</w:t>
      </w:r>
    </w:p>
    <w:p>
      <w:r>
        <w:t>Regesto Riserva della proprietà costituita all'estero; assenza di un'iscrizione nel registro in Svizzera (art. 715 cpv. 1 CC; art. 102 cpv. 2 LDIP). L'iscrizione nel registro previsto dall'art. 715 cpv. 1 CC ha per costante giurisprudenza carattere di ordine pubblico, motivo per cui una riserva della proprietà costituita all'estero perde la sua validità dopo il decorso del termine di rispetto di tre mesi previsto dall'art. 102 cpv. 2 LDIP (consid. 2.3.2). La rivendicazione in un fallimento presuppone una riserva della proprietà valida, che dev'essere provata dal terzo rivendicante (consid. 2.3.3).</w:t>
      </w:r>
    </w:p>
    <w:p>
      <w:pPr>
        <w:pStyle w:val="Heading2"/>
      </w:pPr>
      <w:r>
        <w:t>Erwägungen</w:t>
      </w:r>
    </w:p>
    <w:p>
      <w:r>
        <w:rPr>
          <w:b/>
        </w:rPr>
        <w:t>E. 2</w:t>
      </w:r>
    </w:p>
    <w:p>
      <w:r>
        <w:t>Anlass zur vorliegenden Berufung gibt das Aussonderungsbegehren einer Bank (Klägerin), die sich von ihrer Kreditnehmerin an diversen Gegenständen einen Eigentumsvorbehalt nach österreichischem Recht hat einräumen lassen, welche alsdann in die Schweiz gelangt sind und dort von einer in Konkurs gefallenen Unternehmung (Beklagten) angesprochen werden. Der Bestand des Mobiliarpfandes bildete bereits vor erster Instanz nicht mehr Gegenstand des Verfahrens.</w:t>
      </w:r>
    </w:p>
    <w:p>
      <w:r>
        <w:rPr>
          <w:b/>
        </w:rPr>
        <w:t>E. 2.1</w:t>
      </w:r>
    </w:p>
    <w:p>
      <w:r>
        <w:t>Das Aussonderungsverfahren nach Art. 242 SchKG dient ausschliesslich der Klärung der Frage, ob der strittige Gegenstand dem Konkursbeschlag unterliegt oder nicht. Auch wenn dabei materiellrechtliche Aspekte zum Tragen kommen, erfolgt keine BGE 131 III 595 S. 597 rechtskräftige Beurteilung der Eigentumsverhältnisse, wie dies bei einer Vindikationsklage nach Art. 641 ZGB der Fall ist (MARC RUSSENBERGER, in: Kommentar zum Bundesgesetz über Schuldbetreibung und Konkurs, Staehelin/Bauer/Staehelin [Hrsg.], SchKG III, N. 6 zu Art. 242 SchKG mit Hinweisen). Die Beklagte weist denn auch gegenüber der Vorinstanz zu Recht darauf hin, dass im vorliegenden Fall einzig zu entscheiden ist, ob die Klägerin im Zeitpunkt der Konkurseröffnung über die Beklagte noch Eigentümerin der strittigen Gegenstände war (recte: einen Eigentumsvorbehalt daran hatte). Werde diese Frage verneint, so die Beklagte, dann sei die Aussonderungsklage abzuweisen, ohne dass die dingliche Berechtigung an den strittigen Gegenständen noch zu klären wäre. Freilich kann genau diese Frage nicht in jedem Fall ohne die Prüfung der Rechte Dritter beantwortet werden, selbst wenn dies nur aus der Sicht der Klägerin und allein mit Wirkung für sie geschieht.</w:t>
      </w:r>
    </w:p>
    <w:p>
      <w:r>
        <w:rPr>
          <w:b/>
        </w:rPr>
        <w:t>E. 2.2</w:t>
      </w:r>
    </w:p>
    <w:p>
      <w:r>
        <w:t>Die Vorinstanz ist zum Schluss gekommen, dass vorliegend schweizerisches Recht anwendbar sei. Ihrer Ansicht nach kommt Art. 100 Abs. 1 IPRG zum Tragen, da der von der Beklagten behauptete Kauf nach der Verbringung der strittigen Gegenstände in die Schweiz abgeschlossen worden sei. Sie hat die Voraussetzungen einer Rechtswahl verneint und zudem festgehalten, dass eine solche der Beklagten als Dritte ohnehin nicht entgegengehalten werden könnte. Die Beklagte schliesst sich dieser Auffassung an. Die Klägerin ist demgegenüber der Ansicht, dass im Verhältnis zwischen ihr und der Kreditnehmerin kraft diverser Vereinbarungen sowie der Allgemeinen Geschäftsbedingungen österreichisches Recht gelte. Soweit sie hier vorbringt, die kantonale Instanz habe in Verletzung des schweizerischen internationalen Privatrechts nicht ausländisches Recht angewendet, ist ihre Rüge zulässig ( Art. 43a Abs. 1 lit. a OG ). Indes gehen ihre Darlegungen an der entscheidenden Fragestellung vorbei. Strittig ist nämlich nicht die Gültigkeit des Eigentumsvorbehalts als solche, sondern einzig die Dauer von dessen Wirksamkeit nach der Einfuhr der mit ihm belegten Gegenstände in die Schweiz. Geht es aber um die Frage von Erwerb und Verlust dinglicher Rechte an beweglichen Sachen, so kommt das Recht des Staates zur Anwendung, wo der Gegenstand im Moment liegt, in welchem der Vorgang, aus welchem der Rechtstitel hergeleitet wird, sich ereignet hat ( Art. 100 Abs. 1 IPRG ). Der behauptete Kauf fand nach der Einfuhr der Gegenstände in die Schweiz statt, wie die Vorinstanz für das BGE 131 III 595 S. 598 Bundesgericht verbindlich festhält, womit sie schweizerisches Recht anzuwenden hatte. Die Klägerin macht in diesem Zusammenhang geltend, dass sie mit ihrer Kreditnehmerin eine Rechtswahl getroffen habe. Mit dieser pauschalen Behauptung setzt sie sich weder mit der Begründung der Vorinstanz auseinander, dass dies nicht der Fall sei, noch nimmt sie zur Frage Stellung, ob eine allfällige Rechtswahl Dritten überhaupt entgegengehalten werden könnte. Beruht der angefochtene Entscheid aber auf mehreren Begründungen, muss der Berufungskläger alle anfechten, ansonsten das Bundesgericht auf sein Vorbringen nicht eintritt ( BGE 121 III 46 E. 2; BGE 122 III 43 E. 3 S. 45, je mit Hinweisen). Dem angefochtenen Urteil lässt sich schliesslich nicht entnehmen, dass die Gegenstände zur Ausfuhr in ein anderes Land als die Schweiz bestimmt waren, womit es kein Recht des Bestimmungsstaates zu berücksichtigen gibt ( Art. 103 IPRG ).</w:t>
      </w:r>
    </w:p>
    <w:p>
      <w:r>
        <w:rPr>
          <w:b/>
        </w:rPr>
        <w:t>E. 2.3</w:t>
      </w:r>
    </w:p>
    <w:p>
      <w:r>
        <w:t>Gelangt eine bewegliche Sache in die Schweiz und ist an ihr im Ausland ein Eigentumsvorbehalt begründet worden, der den Anforderungen des schweizerischen Rechts nicht genügt, so bleibt der Eigentumsvorbehalt in der Schweiz noch während drei Monaten gültig ( Art. 102 Abs. 2 IPRG ). Dem gutgläubigen Dritten kann der Bestand eines solchen Eigentumsvorbehaltes nicht entgegengehalten werden ( Art. 102 Abs. 3 IPRG ).</w:t>
      </w:r>
    </w:p>
    <w:p>
      <w:r>
        <w:rPr>
          <w:b/>
        </w:rPr>
        <w:t>E. 2.3.1</w:t>
      </w:r>
    </w:p>
    <w:p>
      <w:r>
        <w:t>Gemäss den verbindlichen Feststellungen der Vorinstanz wurden die Gerätschaften nicht nur vorübergehend in die Schweiz gebracht. Die Klägerin bestreitet dies ausdrücklich und verweist in diesem Zusammenhang auf die damals geplante Übernahme der Käuferin durch die S. AG. Damit versucht sie einzig, den Sachverhalt der Vorinstanz zu ergänzen, was im Rahmen einer Berufung nicht zulässig ist. Es liegt somit ein Anwendungsfall der dreimonatigen Schutzfrist gemäss Art. 102 Abs. 2 IPRG vor (HEINI, Zürcher Kommentar zum IPRG, 2. Aufl., Zürich 2004, N. 13 zu Art. 102 IPRG ).</w:t>
      </w:r>
    </w:p>
    <w:p>
      <w:r>
        <w:rPr>
          <w:b/>
        </w:rPr>
        <w:t>E. 2.3.2</w:t>
      </w:r>
    </w:p>
    <w:p>
      <w:r>
        <w:t>Die Klägerin hat den ihr eingeräumten Eigentumsvorbehalt nach Einfuhr der Gegenstände in die Schweiz nicht nach Art. 715 Abs. 1 ZGB in das öffentliche Register eintragen lassen. Gemäss der noch vor dem Inkrafttreten des IPRG ergangenen Rechtsprechung des Bundesgerichts muss einem ausländischen Eigentumsvorbehalt in der Schweiz in jedem Fall die Anerkennung versagt werden, wenn er hier nicht in ein öffentliches Register eingetragen BGE 131 III 595 S. 599 wird. Dem Eintragungszwang kommt Ordre-public-Charakter zu ( BGE 106 II 197 E. 4 S. 199 f.). Der Grund hierfür liegt in der Erkennbarkeit der dinglichen Rechte für Dritte und hat Vorrang gegenüber dem Interesse des ausländischen Vertragspartners an der Gültigkeit des Eigentumsvorbehalts ( BGE 106 II 197 E. 4e S. 200). Da es sich bei der Erwerberin um eine Gesellschaft mit Sitz in Österreich handelt, die in der Schweiz auch keine Geschäftsniederlassung hat (Art. 1 Abs. 1 der Verordnung des Bundesgerichts betreffend die Eintragung der Eigentumsvorbehalte vom 19. Dezember 1910 [SR 211.413.1]), hätte nur geprüft werden können, ob der von der Lehre einhellig geforderte Eintrag am Lageort der Sache in Frage kommen kann (statt vieler: HEINI, a.a.O., N. 12 zu Art. 102 IPRG ). Der in Österreich begründete Eigentumsvorbehalt genügt den eben angeführten Anforderungen des Schweizer Rechts somit nicht, womit er nach Ablauf von drei Monaten die Gültigkeit verliert ( Art. 102 Abs. 2 IPRG ).</w:t>
      </w:r>
    </w:p>
    <w:p>
      <w:r>
        <w:rPr>
          <w:b/>
        </w:rPr>
        <w:t>E. 2.3.3</w:t>
      </w:r>
    </w:p>
    <w:p>
      <w:r>
        <w:t>Die Vorinstanz ging davon aus, dass weder innerhalb der dreimonatigen Schutzfrist noch bis zum Konkurs der Beklagten ein Eintrag des Eigentumsvorbehalts erfolgte. Dennoch hat sie die Klage gutgeheissen und zwar mit der folgenden Begründung: Da die R. GmbH zu keinem Zeitpunkt gleichzeitig weder über einen vorbehaltlosen Erwerbstitel verfügt noch rechtsgenügenden Besitz gehabt habe, sei sie nie Eigentümerin der Gerätschaften gewesen und habe infolgedessen auch nicht Eigentum an die Beklagte vermitteln können. Darum sei die Klägerin Eigentümerin geblieben und habe einen Aussonderungsanspruch. Die Beklagte könne sich auch nicht auf den guten Glauben stützen. Nicht weil die Klägerin einen gültigen Eigentumstitel hat vorweisen können, sondern weil die Eigentumsverhältnisse auf Seiten der Beklagten nicht über jeden Zweifel erhaben seien, hiess das Kantonsgericht die Klage gut. Damit verkannte die Vorinstanz, dass es im Aussonderungsverfahren nicht darauf ankommt, ob und wer, wann und wie Eigentum oder Besitz erworben hat: Unbestrittenermassen hatte die X. AG bzw. deren Konkursmasse Gewahrsam an den Gegenständen, weshalb sie erst einmal admassiert wurden. Bei der Aussonderungsklage hat der Ansprecher sein Eigentum zu beweisen, wobei der Nachweis seines Eigentumsvorbehalts ausreichend ist. Ist dieser jedoch erloschen, fehlt es an einem Aussonderungsanspruch, da die Aussonderung einen formrichtig bestellten, d.h. im Register BGE 131 III 595 S. 600 eingetragenen und damit gültigen Eigentumsvorbehalt voraussetzt. Wer vorliegend aufgrund des untergegangenen Eigentumsvorbehalts Eigentum an den Gegenständen (definitiv) erlangt hat, ist für das Schicksal der Aussonderungsklage nicht von Belang, da nicht die Konkursmasse ihren Erwerbstitel, sondern der Ansprecher seinen Aussonderungstitel beweisen muss. Das heisst, dass die Klägerin nachweisen muss, dass ihr Eigentumsvorbehalt noch gültig ist.</w:t>
      </w:r>
    </w:p>
    <w:p>
      <w:r>
        <w:rPr>
          <w:b/>
        </w:rPr>
        <w:t>E. 2.3.4</w:t>
      </w:r>
    </w:p>
    <w:p>
      <w:r>
        <w:t>Im angefochtenen Urteil wird nicht festgestellt, wann genau die Werkzeuge in die Schweiz gelangt sind. Darin wird für das Bundesgericht lediglich, aber immerhin verbindlich festgestellt, dass der behauptete Erwerb der Werkzeuge nach deren Einfuhr in die Schweiz stattfand. Die Klägerin räumt selber ein, an der Sitzung vom 29. Juli 2002 Kenntnis erhalten zu haben, dass die Aktiven und Passiven der R. GmbH von der X. AG übernommen wurden. Gemäss dem von der Klägerin verfassten Aktenvermerk zu dieser Sitzung erfolgte die Übernahme der Aktiven und Passiven per 1. April 2002, was von Amtes wegen ergänzt werden kann ( Art. 64 Abs. 2 OG ). Dass bei einer Übernahme der Aktiven und Passiven der R. GmbH per 1. April 2002 auch deren Werkzeuge (mit dem entsprechenden Eigentumsvorbehalt) erfasst werden, ist offensichtlich. Die Klägerin macht zwar die Einschränkung, die Übernahme von Aktiven und Passiven könne auch ohne physische Verschiebung von Gegenständen vorgenommen werden. Dazu hat die Vorinstanz aber - wie ausgeführt - verbindlich festgestellt, dass die Einfuhr der Werkzeuge in die Schweiz vor dem Erwerb erfolgt war. Dies bedeutet, dass die Einfuhr in die Schweiz vor dem 1. April 2002 stattfand und die Dreimonatsfrist im massgeblichen Zeitpunkt abgelaufen war. Die Berufung der Beklagten muss somit gutgeheissen, das angefochtene Urteil aufgehoben und die Klage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