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46</w:t>
      </w:r>
    </w:p>
    <w:p>
      <w:r>
        <w:t>Bundesgericht (BGE), 2004-10-18, DE</w:t>
      </w:r>
    </w:p>
    <w:p>
      <w:r>
        <w:rPr>
          <w:b/>
        </w:rPr>
        <w:t xml:space="preserve">Quelle: </w:t>
      </w:r>
      <w:r>
        <w:t>https://mcp.opencaselaw.ch/entscheid/bge_BGE_131_III_46</w:t>
      </w:r>
    </w:p>
    <w:p>
      <w:r>
        <w:t>FR: ATF 131 III 46</w:t>
      </w:r>
    </w:p>
    <w:p>
      <w:r>
        <w:t>IT: DTF 131 III 46</w:t>
      </w:r>
    </w:p>
    <w:p>
      <w:pPr>
        <w:pStyle w:val="Heading2"/>
      </w:pPr>
      <w:r>
        <w:t>Regeste</w:t>
      </w:r>
    </w:p>
    <w:p>
      <w:r>
        <w:t>Regeste Verarrestierung von Grundstücken; Verwahrung von Eigentümerpfandtiteln (Art. 98 Abs. 1 und 4 SchKG, Art. 13 VZG). Eine Verwahrung der sich im Besitz von Dritten befindlichen Pfandtitel setzt voraus, dass diese gepfändet bzw. verarrestiert worden sind (E. 3.2).</w:t>
      </w:r>
    </w:p>
    <w:p>
      <w:r>
        <w:t>Regeste Séquestre d'immeubles; prise en garde par l'office des titres de gage créés au nom du propriétaire (art. 98 al. 1 et 4 LP, art. 13 ORFI). Une prise en garde par l'office des titres de gage qui se trouvent en possession de tiers présuppose que ces titres ont été saisis ou séquestrés (consid. 3.2).</w:t>
      </w:r>
    </w:p>
    <w:p>
      <w:r>
        <w:t>Regesto Sequestro di fondi; presa in custodia di titoli di pegno eretti a nome del proprietario (art. 98 cpv. 1 e 4 LEF, art. 13 RFF). La presa in custodia di titoli di pegno in possesso di terzi presuppone che tali titoli siano stati pignorati, rispettivamente sequestrati (consid. 3.2).</w:t>
      </w:r>
    </w:p>
    <w:p>
      <w:pPr>
        <w:pStyle w:val="Heading2"/>
      </w:pPr>
      <w:r>
        <w:t>Erwägungen</w:t>
      </w:r>
    </w:p>
    <w:p>
      <w:r>
        <w:rPr>
          <w:b/>
        </w:rPr>
        <w:t>E. 3.2</w:t>
      </w:r>
    </w:p>
    <w:p>
      <w:r>
        <w:t>Die Beschwerdeführerin bringt dagegen vor, das Betreibungsamt werde vom Arrestrichter mit dem Vollzug beauftragt und habe ohne Verzug zu vollziehen. Das Betreibungsamt hätte die Eigentümerschuldbriefe unbedingt in Verwahrung nehmen müssen. Es sei Bundesrecht verletzt worden, indem das Amt von Sicherungsmassnahmen nach Art. 98 ff. SchKG und weiteren Abklärungen nach Art. 91 SchKG entbunden worden sei. Die Einwände gehen fehl. Auszugehen ist vom Zweck der Sicherungsvorkehr. Die amtliche Verwahrung der in der Hand des Schuldners befindlichen Eigentümerpfandtitel gemäss Art. 98 Abs. 1 SchKG und Art. 13 der Verordnung des Bundesgerichts vom 23. April 1920 über Zwangsverwertung von Grundstücken (VZG; SR 281.42) soll verhindern, BGE 131 III 46 S. 48 dass die bisher nur virtuelle Belastung des Grundstücks durch eine Begebung des Titels, sei es zu Eigentum oder Faustpfand, wirksam und der Pfändungsgläubiger dadurch geschädigt wird. Dieser Zweck kann vorliegend nicht mehr erreicht werden, da den Angaben von Y. zufolge die Titel an Dritte begeben worden sind. Eine Verwahrung der sich im Besitz von Dritten befindlichen Pfandtitel setzt voraus, dass diese gepfändet bzw. verarrestiert worden sind ( Art. 98 Abs. 4 SchKG ). Dies trifft vorliegend gerade nicht zu. Verarrestiert wurden diverse Liegenschaften von Y. in A., nicht aber die darauf lastenden Pfandtitel ( BGE 113 III 144 E. 4b/c S. 146/147). Als weitere Sicherungsschritte begehrt die Beschwerdeführerin insbesondere, das Betreibungsamt anzuweisen, bei den angegebenen Banken oder sonstigen Pfandgläubigern und namentlich bei den Steuerämtern zweckdienliche Abklärungen vorzunehmen. Mit diesen Begehren zielt die Beschwerdeführerin offensichtlich darauf ab, den Rechtsgrund für die Begebung der Inhaberschuldbriefe zu klären. Hierüber wird jedoch - wie die obere Aufsichtsbehörde zu Recht entschieden hat - gegebenenfalls der Richter im Lastenbereinigungsverfahren zu befinden haben ( BGE 104 III 15 E. 2b S. 17; vgl. dazu auch FRITZSCHE/WALDER, Schuldbetreibung und Konkurs nach schweizerischem Recht, Bd. I, 3. Aufl. 1984, S. 292 Rz. 71). Die Vorinstanz hat somit kein Bundesrecht verletzt, indem sie von einer Anweisung, die 5 Schuldbriefe dem Betreibungsamt in Verwahrung zu geben, abgesehen hat. Zu Recht hat sie im Übrigen festgehalten, dass auf bestimmte Vorkehren zu verzichten eine anfechtbare Verfügung darstellt.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