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314</w:t>
      </w:r>
    </w:p>
    <w:p>
      <w:r>
        <w:t>Bundesgericht (BGE), 2005-03-11, DE</w:t>
      </w:r>
    </w:p>
    <w:p>
      <w:r>
        <w:rPr>
          <w:b/>
        </w:rPr>
        <w:t xml:space="preserve">Quelle: </w:t>
      </w:r>
      <w:r>
        <w:t>https://mcp.opencaselaw.ch/entscheid/bge_BGE_131_III_314</w:t>
      </w:r>
    </w:p>
    <w:p>
      <w:r>
        <w:t>FR: ATF 131 III 314</w:t>
      </w:r>
    </w:p>
    <w:p>
      <w:r>
        <w:t>IT: DTF 131 III 314</w:t>
      </w:r>
    </w:p>
    <w:p>
      <w:pPr>
        <w:pStyle w:val="Heading2"/>
      </w:pPr>
      <w:r>
        <w:t>Regeste</w:t>
      </w:r>
    </w:p>
    <w:p>
      <w:r>
        <w:t>Regeste Betrügerische Begründung des Versicherungsanspruchs (Art. 40 VVG). Das Rücktrittsrecht des Versicherers beschränkt sich auf denjenigen Vertrag, mit dem die betrügerische Anspruchsbegründung in Zusammenhang steht (E. 2).</w:t>
      </w:r>
    </w:p>
    <w:p>
      <w:r>
        <w:t>Regeste Prétention frauduleuse (art. 40 LCA). Le droit de résolution de l'assureur se limite au contrat avec lequel la prétention frauduleuse se trouve en relation (consid. 2).</w:t>
      </w:r>
    </w:p>
    <w:p>
      <w:r>
        <w:t>Regesto Frodi nelle giustificazioni (art. 40 LCA). Il diritto di recedere dell'assicuratore è limitato a quel contratto che è in relazione con la pretesa fraudolenta (consid. 2).</w:t>
      </w:r>
    </w:p>
    <w:p>
      <w:pPr>
        <w:pStyle w:val="Heading2"/>
      </w:pPr>
      <w:r>
        <w:t>Erwägungen</w:t>
      </w:r>
    </w:p>
    <w:p>
      <w:r>
        <w:rPr>
          <w:b/>
        </w:rPr>
        <w:t>E. 2</w:t>
      </w:r>
    </w:p>
    <w:p>
      <w:r>
        <w:t>Die Beklagte rügt eine Verletzung von Art. 40 VVG (SR 221.229.1). Es geht dabei um die Rechtsfrage, ob die Beklagte gestützt auf Art. 40 VVG von sämtlichen Versicherungsverträgen, d.h. auch von der Erwerbsausfallversicherung, zurücktreten durfte oder nur von denjenigen, mit denen die betrügerischen Handlungen und die Brandstiftung in Zusammenhang standen.</w:t>
      </w:r>
    </w:p>
    <w:p>
      <w:r>
        <w:rPr>
          <w:b/>
        </w:rPr>
        <w:t>E. 2.1</w:t>
      </w:r>
    </w:p>
    <w:p>
      <w:r>
        <w:t>Hat der Anspruchsberechtigte oder sein Vertreter Tatsachen, welche die Leistungspflicht des Versicherers ausschliessen oder mindern würden, zum Zwecke der Täuschung unrichtig mitgeteilt oder verschwiegen oder hat er die ihm nach Massgabe des Artikels 39 dieses Gesetzes obliegenden Mitteilungen zum Zwecke der Täuschung zu spät oder gar nicht gemacht, so ist der Versicherer gegenüber dem Anspruchsberechtigten an den Vertrag nicht gebunden ( Art. 40 VVG ).</w:t>
      </w:r>
    </w:p>
    <w:p>
      <w:r>
        <w:rPr>
          <w:b/>
        </w:rPr>
        <w:t>E. 2.2</w:t>
      </w:r>
    </w:p>
    <w:p>
      <w:r>
        <w:t>Gemäss ständiger Rechtsprechung des Bundesgerichts ist eine Gesetzesbestimmung in erster Linie nach ihrem Wortlaut auszulegen. An einen klaren und unzweideutigen Gesetzeswortlaut ist die rechtsanwendende Behörde gebunden. Abweichungen von einem klaren Wortlaut sind indessen zulässig oder sogar geboten, wenn triftige Gründe zur Annahme bestehen, dass er nicht dem wahren Sinn der Bestimmung entspricht. Solche Gründe können sich aus der Entstehungsgeschichte der Norm, aus ihrem Sinn und Zweck BGE 131 III 314 S. 316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124 III 266 E. 4 S. 268; BGE 127 III 318 E. 2b S. 322 f.).</w:t>
      </w:r>
    </w:p>
    <w:p>
      <w:r>
        <w:rPr>
          <w:b/>
        </w:rPr>
        <w:t>E. 2.3</w:t>
      </w:r>
    </w:p>
    <w:p>
      <w:r>
        <w:t>Der Wortlaut von Art. 40 VVG ist klar. Werden leistungsbegründende Tatsachen zum Zweck der Täuschung unrichtig mitgeteilt oder verschwiegen, ist der Versicherer an den Vertrag nicht gebunden. Die Rechtsfolge bezieht sich demnach auf den von den betrügerischen Handlungen betroffenen Vertrag, nicht auf die - gegebenenfalls aus einer ganzen Anzahl von Verträgen bestehende - Geschäftsbeziehung zwischen Versicherer und Versicherungsnehmer. Angesichts des klaren Wortlauts bleibt zu prüfen, ob die grammatikalische Auslegung zu einem Ergebnis führt, das der Gesetzgeber nicht gewollt haben kann, oder ob triftige Gründe zur Annahme bestehen, dass der Wortlaut nicht dem wahren Sinn der Bestimmung entspricht. In diesem Zusammenhang gilt es zunächst, sich mit der Lehrmeinung auseinander zu setzen, wonach dem Versicherer nach richtigem Gesetzesverständnis ein generelles Rücktrittsrecht zustehen müsse (dazu E. 2.3.1). Anschliessend ist auf weitere vorinstanzliche Überlegungen zur Tragweite des Rücktrittsrechts hinzuweisen (E. 2.3.2).</w:t>
      </w:r>
    </w:p>
    <w:p>
      <w:r>
        <w:rPr>
          <w:b/>
        </w:rPr>
        <w:t>E. 2.3.1</w:t>
      </w:r>
    </w:p>
    <w:p>
      <w:r>
        <w:t>Die Beklagte beruft sich mit Nachdruck auf die Meinungsäusserung im Basler Kommentar, wonach der Versicherer gemäss Art. 40 VVG von allen Versicherungsverträgen zurücktreten kann, auch von denjenigen, die in keinem Zusammenhang mit den betrügerischen Handlungen des Versicherungsnehmers stehen (NEF, Basler Kommentar, N. 45 zu Art. 40 VVG ; gl.M.: WICKI, Versicherungsmissbrauch, Diss. Freiburg 2002, S. 154; a.M.: ROELLI/KELLER, Kommentar zum VVG, Bd. I, Bern 1968, S. 585 Fn. 3 mit Verweisen auf die deutsche Rechtsprechung). Diese Ansicht vermag jedoch aus mehreren Gründen nicht zu überzeugen: Vorab ist zu bemerken, dass sich der Versicherungsvertrag schlecht mit denjenigen Vertragsverhältnissen vergleichen lässt, für die der BGE 131 III 314 S. 317 Besondere Teil des Obligationenrechts gesetzliche ausserordentliche Beendigungsgründe kennt (namentlich Miet- und Arbeitsvertrag sowie einfache Gesellschaft). Gerade der Arbeitsvertrag wird regelmässig mit einem spezifischen Arbeitgeber und im Hinblick auf die persönlichen Qualitäten des Arbeitnehmers geschlossen. Sodann obliegen dem Arbeitgeber umfassende gesetzliche Fürsorge- und Schutzpflichten (Schutz der Persönlichkeit, Art. 328 OR ; Personalvorsorge, Art. 331 ff. OR ; Lohnfortzahlung, Art. 324a OR ; etc.). Umgekehrt trifft den Arbeitnehmer eine umfassende Sorgfalts- und Treuepflicht ( Art. 321a OR ). Im Unterschied dazu treten auf dem Versicherungsmarkt weitgehend austauschbare Gesellschaften auf, bei deren Versicherungsangeboten es sich zu einem grossen Teil um ein von der Person des Versicherungsnehmers unabhängiges Massengeschäft handelt. Aber selbst dort, wo die persönlichen Eigenschaften des Versicherungsnehmers geprüft werden, geschieht dies regelmässig zur Risikokalkulation und Prämienbestimmung und kaum je mit Rücksicht auf eine gegenseitige persönliche Verbundenheit der Vertragsparteien. Wesentlicher als dieser Unterschied ist jedoch, dass sich auch die ausserordentliche Kündigungsmöglichkeit gemäss Art. 266g, Art. 337 oder Art. 545 Abs. 2 OR auf den jeweiligen Miet-, Arbeits- resp. Gesellschaftsvertrag und nicht auf sämtliche zwischen den betreffenden Parteien bestehenden Verträge bezieht. Rechtsdogmatisch lässt sich deshalb von diesen gesetzlich geregelten ausserordentlichen Kündigungsrechten nicht auf ein generelles Rücktrittsrecht des Versicherers schliessen. Ebenso wenig dürfen die Unterschiede zwischen Kündigung und Rücktritt übersehen bzw. Tatbestandsvoraussetzungen und Rechtsfolge vermengt werden. Die Kündigung wirkt ex nunc und damit pro futuro , was zur Folge hat, dass bereits erbrachte Leistungen nicht zurückgefordert werden können und die Leistungspflicht aus bereits eingetretenen Ereignissen fortbesteht. Demgegenüber lässt der Rücktritt das Vertragsverhältnis im Grundsatz ex tunc dahinfallen - wobei die Folgen des Rücktritts bei Versicherungsverträgen etwas weniger weit reichend sind (vgl. dazu KÖNIG, Schweizerisches Privatversicherungsrecht, 3. Aufl., Bern 1967, S. 91) - und begründet für bereits erbrachte Leistungen einen Rückforderungsanspruch aus ungerechtfertigter Bereicherung (statt vieler: GUHL/MERZ/KOLLER, Das schweizerische Obligationenrecht, 9. Aufl., Zürich 2000, S. 309 f.). BGE 131 III 314 S. 318 Aufgrund der vorstehenden Ausführungen ist als Zwischenergebnis festzuhalten, dass sich aus dem bei gewissen Dauerschuldverhältnissen gesetzlich vorgesehenen ausserordentlichen Kündigungsrecht nichts für das geforderte generelle Rücktrittsrecht beim Versicherungsvertrag ableiten lässt. Eine andere Frage ist, ob unabhängig von den im Besonderen Teil des Obligationenrechts normierten Tatbeständen bei Dauerschuldverhältnissen, zu denen auch der Versicherungsvertrag gerechnet wird (KELLER, Die ausserordentliche Auflösung des Versicherungsvertrages, Diss. Freiburg 1983, S. 3; NEF, a.a.O., N. 45 zu Art. 40 VVG ), ein allgemeines Lösungsrecht aus wichtigem Grund besteht (vgl. dazu KRAMER/SCHMIDLIN, Berner Kommentar, Allgemeine Einleitung N. 163 f.; BUCHER, Schweizerisches Obligationenrecht, Allgemeiner Teil, 2. Aufl., Zürich 1988, S. 383 f.; GAUCH, System der Beendigung von Dauerverträgen, Diss. Freiburg 1968, S. 192 ff.; ferner GAUCH/SCHLUEP/SCHMID, Schweizerisches Obligationenrecht, Allgemeiner Teil, 8. Aufl., Zürich 2003, N. 1286a). Wie es sich damit im vorliegenden Fall verhält, kann indes ebenso offen gelassen werden wie die weitere Frage, ob diesfalls die Rücktrittserklärung der Beklagten als Kündigungserklärung anerkannt werden könnte, da bereits die erste der drei Erklärungen nach Eintritt des Erwerbsausfalls abgegeben worden ist und deshalb die Leistungspflicht aus diesem Schadensfall selbst unter der Hypothese einer zulässigen ausserordentlichen Kündigung unberührt bliebe (BUCHER, a.a.O., S. 384).</w:t>
      </w:r>
    </w:p>
    <w:p>
      <w:r>
        <w:rPr>
          <w:b/>
        </w:rPr>
        <w:t>E. 2.3.2</w:t>
      </w:r>
    </w:p>
    <w:p>
      <w:r>
        <w:t>Die Vorinstanz hat sodann zu Recht darauf hingewiesen, dass der Versicherungsnehmer, der mehrere oder sämtliche Versicherungsverträge beim gleichen Versicherer abgeschlossen hat, gegenüber demjenigen, der bei verschiedenen Gesellschaften versichert ist, schlechter gestellt wäre. In diesem Sinn stimmt auch das - ohnehin wirtschaftliche, nicht rechtliche - Argument der Beklagten nur bedingt, das Verhalten der Versicherungsnehmer schlage direkt auf die Prämiengestaltung durch und gereiche dem Versichertenkollektiv zum Schaden.</w:t>
      </w:r>
    </w:p>
    <w:p>
      <w:r>
        <w:rPr>
          <w:b/>
        </w:rPr>
        <w:t>E. 2.3.3</w:t>
      </w:r>
    </w:p>
    <w:p>
      <w:r>
        <w:t>Beim vorstehenden Resultat braucht nicht im Einzelnen geklärt zu werden, ob es sich bei Art. 40 VVG um eine dispositive Norm handelt, wie die Lehre aufgrund der Liste der zwingenden bzw. einseitig zwingenden Normen in Art. 97 und 98 VVG festhält (ROELLI/KELLER, a.a.O., S. 585; WICKI, a.a.O., S. 69; NEF, a.a.O., BGE 131 III 314 S. 319 N. 45 zu Art. 40 VVG ). Hätte der Beklagten die Möglichkeit offen gestanden, die von ihr gewünschte Rechtsfolge in ihren AGB vorzusehen, wäre jedenfalls nicht einzusehen, weshalb ihr entgegen dem klaren Wortlaut von Art. 40 VVG ein betreffendes Recht ex lege eingeräumt werden müsste.</w:t>
      </w:r>
    </w:p>
    <w:p>
      <w:r>
        <w:rPr>
          <w:b/>
        </w:rPr>
        <w:t>E. 2.3.4</w:t>
      </w:r>
    </w:p>
    <w:p>
      <w:r>
        <w:t>Insgesamt ergibt sich, dass der klare Wortlaut von Art. 40 VVG weder zu einem stossenden Ergebnis führt noch triftige Gründe zur Annahme bestehen, dass er nicht dem wahren Sinn der Bestimmung entspricht. Die Berufung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