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306</w:t>
      </w:r>
    </w:p>
    <w:p>
      <w:r>
        <w:t>Bundesgericht (BGE), 2004-11-09, DE</w:t>
      </w:r>
    </w:p>
    <w:p>
      <w:r>
        <w:rPr>
          <w:b/>
        </w:rPr>
        <w:t xml:space="preserve">Quelle: </w:t>
      </w:r>
      <w:r>
        <w:t>https://mcp.opencaselaw.ch/entscheid/bge_BGE_131_III_306</w:t>
      </w:r>
    </w:p>
    <w:p>
      <w:r>
        <w:t>FR: ATF 131 III 306</w:t>
      </w:r>
    </w:p>
    <w:p>
      <w:r>
        <w:t>IT: DTF 131 III 306</w:t>
      </w:r>
    </w:p>
    <w:p>
      <w:pPr>
        <w:pStyle w:val="Heading2"/>
      </w:pPr>
      <w:r>
        <w:t>Regeste</w:t>
      </w:r>
    </w:p>
    <w:p>
      <w:r>
        <w:t>Regeste Art. 752 und 754 ff. OR; Prospekthaftung; aktienrechtliche Verantwortlichkeit. Zur Geltendmachung der Prospekthaftung ist nicht nur der Zeichner während der Angebotsfrist, sondern auch der spätere Käufer aktivlegitimiert, wenn die Angaben im Prospekt kausal für seinen Kaufentschluss waren (E. 2). Der mittelbar geschädigte Aktionär bzw. Gesellschaftsgläubiger kann keine eigenen Verantwortlichkeitsansprüche geltend machen. Grundsätzlich unbeschränkt kann hingegen ein direkter Schaden eingeklagt werden. Im Konkurs der Gesellschaft ist die Klagebefugnis jedoch dann eingeschränkt, wenn auch die Konkursverwaltung gegenüber den verantwortlichen Organen den Gesellschaftsschaden geltend macht (Präzisierung der Rechtsprechung; E. 3).</w:t>
      </w:r>
    </w:p>
    <w:p>
      <w:r>
        <w:t>Regeste Art. 752 et 754 ss CO; responsabilité des auteurs de prospectus; responsabilité dans le droit de la société anonyme. La qualité pour agir dans le cadre d'une action en responsabilité des auteurs de prospectus appartient non seulement au souscripteur initial, mais également à l'acquéreur ultérieur, lorsque les informations contenues dans le prospectus ont joué un rôle causal dans la décision d'achat (consid. 2). L'actionnaire, respectivement le créancier social, qui a subi un dommage indirect ne peut pas intenter une action individuelle en réparation de son préjudice. Il peut par contre fonder une demande en justice sur un dommage direct, en principe sans restrictions. Dans la faillite de la société, sa qualité pour agir est toutefois limitée lorsque l'administration de la faillite fait également valoir, à l'encontre des organes responsables, le dommage de la société (précision de jurisprudence; consid. 3).</w:t>
      </w:r>
    </w:p>
    <w:p>
      <w:r>
        <w:t>Regesto Art. 752 e 754 segg. CO; responsabilità per il prospetto; responsabilità secondo il diritto della società anonima. La legittimazione a introdurre un'azione di responsabilità per il prospetto non spetta solamente a chi ha sottoscritto i titoli durante il periodo di offerta, bensì anche ad un ulteriore acquirente qualora le informazioni contenute nel prospetto siano state causali per la sua decisione di procedere all'acquisto (consid. 2). L'azionista, rispettivamente il creditore societario, che ha subito un danno indiretto non può far valere, a titolo personale, diritti fondati sulla responsabilità. Può per contro procedere, di principio senza restrizioni, per ottenere il risarcimento di un danno diretto. Nell'ambito del fallimento della società il diritto di agire è tuttavia limitato, se anche l'amministrazione del fallimento pretende dagli organi responsabili il risarcimento del danno patito dalla società (precisazione della giurisprudenza; consid. 3).</w:t>
      </w:r>
    </w:p>
    <w:p>
      <w:pPr>
        <w:pStyle w:val="Heading2"/>
      </w:pPr>
      <w:r>
        <w:t>Erwägungen</w:t>
      </w:r>
    </w:p>
    <w:p>
      <w:r>
        <w:rPr>
          <w:b/>
        </w:rPr>
        <w:t>E. 2</w:t>
      </w:r>
    </w:p>
    <w:p>
      <w:r>
        <w:t>Zunächst ist zu prüfen, ob die Vorinstanz den gestützt auf die aktienrechtliche Prospekthaftung geltend gemachten Anspruch zu Recht abgewiesen hat.</w:t>
      </w:r>
    </w:p>
    <w:p>
      <w:r>
        <w:rPr>
          <w:b/>
        </w:rPr>
        <w:t>E. 2.1</w:t>
      </w:r>
    </w:p>
    <w:p>
      <w:r>
        <w:t>Das Gesetz statuiert eine Verantwortlichkeit derjenigen Personen, die im Zusammenhang mit der Ausgabe von Wertpapieren unrichtige oder unvollständige Angaben machen bzw. solche Falschangaben verbreiten ( Art. 752 OR ). Aktivlegitimiert ist nach dem Gesetzestext der "Erwerber" der Titel, dem durch die Falschangaben ein Schaden verursacht worden ist. Gemeint sind damit die Ersterwerber der neu ausgegebenen Titel. Nach Rechtsprechung und Lehre ist jedoch nicht nur der Zeichner während der Angebotsfrist, sondern auch der spätere Käufer klageberechtigt, sofern BGE 131 III 306 S. 309 die Angaben im Prospekt kausal für seinen Kaufentschluss waren (Urteil 4C.245/1995 vom 2. August 1996, publ. in: SJ 1997 S. 108 ff. E. 5b; ROLF WATTER, Basler Kommentar, OR II, 2. Aufl., Basel 2002, N. 6 zu Art. 752 OR ; FORSTMOSER/MEIER-HAYOZ/NOBEL, Schweizerisches Aktienrecht, Bern 1996, Rz. 80 zu § 37; sinngemäss auch PETER BÖCKLI, Schweizer Aktienrecht, 3. Aufl., Zürich 2004, § 18 Rz. 20, S. 2024).</w:t>
      </w:r>
    </w:p>
    <w:p>
      <w:r>
        <w:rPr>
          <w:b/>
        </w:rPr>
        <w:t>E. 2.2</w:t>
      </w:r>
    </w:p>
    <w:p>
      <w:r>
        <w:t>Im vorliegenden Fall ist vorweg festzuhalten, dass der Kläger während der im Prospekt aufgeführten Zeichnungsfrist, die vom 7. bis 22. April 1994 dauerte, keine Aktien gezeichnet hat. Er kann daher nicht als Ersterwerber gelten. Vielmehr ist der Kläger ein späterer Käufer, dessen Klageberechtigung unter der Voraussetzung zu bejahen ist, dass die Angaben im Prospekt kausal für seinen Kaufentschluss waren. Nach den verbindlichen Feststellungen der Vorinstanz ist davon auszugehen, dass das erste Aktienpaket (200 Aktien) am 25. November 1994 gekauft worden war. Die weiteren Aktienkäufe datierten vom 23. Juni 1995 (300 Aktien), 13. Oktober 1995 (1000 Aktien), 27. November 1995 (1000 Aktien) und 28. November 1995 (1000 Aktien). Daraus ergibt sich, dass der Kläger die fraglichen Aktien grossmehrheitlich - 3300 von 3500 Aktien - in der zweiten Hälfte bzw. sogar Ende 1995 und damit geraume Zeit nach der bis am 22. April 1994 laufenden Zeichnungsfrist gekauft hatte. Dass der Prospekt keinen nennenswerten Einfluss auf den Kaufentschluss des Klägers gehabt haben konnte, ergibt sich auch aus der Zeugeneinvernahme des Klägers in einer Strafuntersuchung gegen die Organe der Biber Holding AG. Nach den verbindlichen Feststellungen der Vorinstanz hat der Kläger im Strafverfahren als Zeuge deponiert, er habe die Aktien nicht sofort gekauft, sondern zunächst das Marktgeschehen noch etwas verfolgt. Einer der Hauptgründe für den Kauf sei gewesen, dass die drei Grossbanken und die T. AG Hauptaktionäre gewesen seien. Eine der Informationsquellen sei u.a. der Aktienführer der Zeitschrift "Finanz und Wirtschaft" gewesen. Und auf die Frage des Untersuchungsrichters, was ihn bewogen habe, Biber-Aktien zu kaufen, deponierte der Kläger, es sei "das positive Bild" gewesen, das er von der Biber-Gruppe gehabt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