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243</w:t>
      </w:r>
    </w:p>
    <w:p>
      <w:r>
        <w:t>Bundesgericht (BGE), 2004-12-02, DE</w:t>
      </w:r>
    </w:p>
    <w:p>
      <w:r>
        <w:rPr>
          <w:b/>
        </w:rPr>
        <w:t xml:space="preserve">Quelle: </w:t>
      </w:r>
      <w:r>
        <w:t>https://mcp.opencaselaw.ch/entscheid/bge_BGE_131_III_243</w:t>
      </w:r>
    </w:p>
    <w:p>
      <w:r>
        <w:t>FR: ATF 131 III 243</w:t>
      </w:r>
    </w:p>
    <w:p>
      <w:r>
        <w:t>IT: DTF 131 III 243</w:t>
      </w:r>
    </w:p>
    <w:p>
      <w:pPr>
        <w:pStyle w:val="Heading2"/>
      </w:pPr>
      <w:r>
        <w:t>Regeste</w:t>
      </w:r>
    </w:p>
    <w:p>
      <w:r>
        <w:t>Regeste Vorrang des Bundesrechts; Pflicht zur Bezifferung des Rechtsbegehrens. Das Bundesrecht schreibt den Kantonen die Zulassung unbezifferter Rechtsbegehren in "Ermessensfällen" nur vor, wenn dem Gericht bei der Feststellung des erheblichen Sachverhalts ein Ermessen zukommt, nicht aber, wenn das materielle Bundesrecht dem Gericht nur bezüglich der Rechtsfolge Ermessen einräumt. Anwendung auf den Fall von Art. 336a Abs. 2 OR (E. 5).</w:t>
      </w:r>
    </w:p>
    <w:p>
      <w:r>
        <w:t>Regeste Primauté du droit fédéral; obligation de chiffrer les conclusions. Le droit fédéral ne prescrit aux cantons d'admettre les conclusions non-chiffrées dans des "cas d'appréciation" que si un pouvoir d'appréciation est conféré au tribunal en matière de fixation de l'état de fait déterminant, mais non pas si le droit matériel fédéral ne concède au tribunal un pouvoir d'appréciation qu'en ce qui concerne la conséquence juridique. Application dans le cas de l'art. 336a al. 2 CO (consid. 5).</w:t>
      </w:r>
    </w:p>
    <w:p>
      <w:r>
        <w:t>Regesto Preminenza del diritto federale; obbligo di indicare l'ammontare delle conclusioni. Nei casi in cui il giudice dispone di un potere d'apprezzamento, il diritto federale impone ai cantoni di ammettere la presentazione di conclusioni non cifrate solamente se l'apprezzamento lasciato al tribunale concerne l'accertamento dei fatti determinanti, non invece quando riguarda la decisione sulle conseguenze giuridiche. Applicazione nel caso regolato dall'art. 336a cpv. 2 CO (consid. 5).</w:t>
      </w:r>
    </w:p>
    <w:p>
      <w:pPr>
        <w:pStyle w:val="Heading2"/>
      </w:pPr>
      <w:r>
        <w:t>Erwägungen</w:t>
      </w:r>
    </w:p>
    <w:p>
      <w:r>
        <w:rPr>
          <w:b/>
        </w:rPr>
        <w:t>E. 5</w:t>
      </w:r>
    </w:p>
    <w:p>
      <w:r>
        <w:t>Der Kläger bringt schliesslich vor, die Bestimmung von Art. 336a Abs. 2 OR stelle die Festsetzung der vorliegend unter anderem eingeklagten Entschädigung wegen missbräuchlicher Kündigung in das Ermessen des Richters. In diesem Fall dürfe von Bundesrechts BGE 131 III 243 S. 245 wegen nicht verlangt werden, dass der Kläger seine Forderung im kantonalen Verfahren genau beziffere. Damit würde die derogatorische Kraft des Bundesrechts missachtet. Er verweist diesbezüglich auf BGE 116 II 215 E. 4a S. 219.</w:t>
      </w:r>
    </w:p>
    <w:p>
      <w:r>
        <w:rPr>
          <w:b/>
        </w:rPr>
        <w:t>E. 5.1</w:t>
      </w:r>
    </w:p>
    <w:p>
      <w:r>
        <w:t>Das Bundesgericht hatte in diesem Entscheid einen Verstoss gegen Bundesrecht bejaht, weil die Vorinstanz von einem Kläger, der seinen Mäklerlohn eingeklagt hatte, gestützt auf das kantonale Prozessrecht ein genau beziffertes Rechtsbegehren verlangte, obgleich er den Kaufpreis, auf dem sich der Lohn berechnete, nicht kannte und nicht kennen konnte. Es ging dabei davon aus, dass eine Prozessvorschrift, wonach die Rechtsbegehren der Parteien klar und deutlich zu formulieren sind und hinreichend bestimmt lauten müssen, nicht zu beanstanden ist; den Kantonen sei es im Grundsatz nicht verwehrt, in Forderungsstreitigkeiten die genaue Bezifferung des geforderten Betrages zu verlangen (vgl. zu den Gründen, die in der Literatur dafür angeführt werden, eine genaue Bezifferung des Rechtsbegehrens zu verlangen: GULDENER, Zivilprozessrecht, 3. Aufl., Zürich 1979, S. 193; derselbe , Bundesprivatrecht und kantonales Zivilprozessrecht, ZSR 80/1961 II S. 60; VOGEL/SPÜHLER, Zivilprozessrecht, 7. Aufl., Bern 2003, S. 188; VOGEL, Die Stufenklage und die dienende Funktion des Zivilprozessrechts, recht 10/1992 S. 58 f.; kritisch zu den von diesen Autoren vertretenen Gründen: PETER LOOSLI, Die unbezifferte Forderungsklage, Diss. Zürich 1977, S. 74 ff.). Wie das Bundesgericht weiter festhielt, gilt dieser Grundsatz indessen nicht ohne Ausnahmen. So muss das kantonale Prozessrecht unbezifferte Rechtsbegehren zunächst dort zulassen, wo das Bundesprivatrecht sie ausdrücklich vorsieht; überdies dürfe ein genau beziffertes Begehren auch nicht verlangt werden, wenn das Bundesrecht das Gericht auf sein Ermessen verweise, wie beispielsweise in Art. 42 Abs. 2 OR . In den Fällen richterlichen Ermessens begrenze das Bundesrecht insoweit allerdings lediglich die Anforderungen an die materielle Substanziierung der Forderung, nehme dagegen den Kantonen nicht auch die Möglichkeit, aus formellen Gründen eine rahmenmässige Bezifferung der Klageforderung zu verlangen. Ferner führte das Gericht aus, dass es das bundesprivatrechtliche Verwirklichungsverbot (recte: Verwirklichungsgebot) nicht zulasse, eine Bezifferung der Klageforderung zu verlangen, wo der Kläger nicht in der Lage sei, die Höhe seines Anspruchs genau anzugeben, oder diese Angabe unzumutbar erscheine. Unzumutbar BGE 131 III 243 S. 246 erscheine die genaue Bezifferung, wenn erst das Beweisverfahren die Grundlage für die Berechnung der Forderung abgebe. In entsprechenden Fällen sei dem Kläger zu gestatten, die Präzisierung erst nach Abschluss des Beweisverfahrens vorzunehmen (vgl. zum Ganzen BGE 116 II 215 E. 4a S. 219 mit zahlreichen Hinweisen; VOGEL, a.a.O., recht 10/1992 S. 58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