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51</w:t>
      </w:r>
    </w:p>
    <w:p>
      <w:r>
        <w:t>Bundesgericht (BGE), 2003-01-01, DE</w:t>
      </w:r>
    </w:p>
    <w:p>
      <w:r>
        <w:rPr>
          <w:b/>
        </w:rPr>
        <w:t xml:space="preserve">Quelle: </w:t>
      </w:r>
      <w:r>
        <w:t>https://mcp.opencaselaw.ch/entscheid/bge_BGE_130_V_51</w:t>
      </w:r>
    </w:p>
    <w:p>
      <w:r>
        <w:t>FR: ATF 130 V 51</w:t>
      </w:r>
    </w:p>
    <w:p>
      <w:r>
        <w:t>IT: DTF 130 V 51</w:t>
      </w:r>
    </w:p>
    <w:p>
      <w:pPr>
        <w:pStyle w:val="Heading2"/>
      </w:pPr>
      <w:r>
        <w:t>Regeste</w:t>
      </w:r>
    </w:p>
    <w:p>
      <w:r>
        <w:t>Regeste Art. 29bis ff. AHVG; Art. 50 ff. AHVV; Art. 153a AHVG; Art. 2 FZA; Art. 8 lit. c FZA in Verbindung mit Art. 46 Abs. 1 und 2 der Verordnung Nr. 1408/71: Anrechenbare Versicherungszeiten. In einem anderen Vertragsstaat zurückgelegte Versicherungszeiten sind bei der Berechnung einer Altersrente der schweizerischen Alters- und Hinterlassenenversicherung nicht mit zu berücksichtigen (Erw. 4 und 5).</w:t>
      </w:r>
    </w:p>
    <w:p>
      <w:r>
        <w:t>Regeste Art. 29bis ss LAVS; art. 50 ss RAVS; art. 153a LAVS; art. 2 ALCP; art. 8 let. c ALCP en liaison avec l'art. 46 par. 1 et 2 du règlement n° 1408/71: Prise en compte de périodes d'assurance. Lors du calcul d'une rente de vieillesse de l'assurance-vieillesse et survivants suisse, il n'y a pas lieu de prendre en compte les périodes d'assurance qu'un assuré a accomplies dans un autre Etat contractant (consid. 4 et 5).</w:t>
      </w:r>
    </w:p>
    <w:p>
      <w:r>
        <w:t>Regesto Art. 29bis segg. LAVS; art. 50 segg. OAVS; art. 153a LAVS; art. 2 ALC; art. 8 lett. c ALC in relazione con l'art. 46 n. 1 e 2 del regolamento n. 1408/71: Periodi di assicurazione computabili. I periodi di assicurazione compiuti in un altro Stato contraente non sono da considerare per il calcolo di una rendita di vecchiaia dell'assicurazione svizzera per la vecchiaia e i superstiti (consid. 4 e 5).</w:t>
      </w:r>
    </w:p>
    <w:p>
      <w:pPr>
        <w:pStyle w:val="Heading2"/>
      </w:pPr>
      <w:r>
        <w:t>Erwägungen</w:t>
      </w:r>
    </w:p>
    <w:p>
      <w:r>
        <w:rPr>
          <w:b/>
        </w:rPr>
        <w:t>E. 4</w:t>
      </w:r>
    </w:p>
    <w:p>
      <w:r>
        <w:t>Neu beruft sich der 1939 in den Niederlanden geborene Beschwerdeführer darauf, auf Grund des Abkommens vom 21. Juni 1999 zwischen der Schweizerischen Eidgenossenschaft einerseits und der Europäischen Gemeinschaft und ihren Mitgliedstaaten BGE 130 V 51 S. 53 (darunter die Niederlande) andererseits über die Freizügigkeit (nachfolgend: FZA) habe er einen Anspruch darauf, nicht diskriminiert zu werden. Er wohnt seit Oktober 1961 in der Schweiz und besitzt seit 2001 neben dem niederländischen auch das schweizerische Bürgerrecht. Da er erst im 23. Altersjahr in die Schweiz zuzog, ist zu prüfen, ob er Anspruch darauf hat, dass in den Niederlanden zurückgelegte Versicherungszeiten bei der Festsetzung der schweizerischen Altersrente berücksichtigt werden.</w:t>
      </w:r>
    </w:p>
    <w:p>
      <w:r>
        <w:rPr>
          <w:b/>
        </w:rPr>
        <w:t>E. 4.1</w:t>
      </w:r>
    </w:p>
    <w:p>
      <w:r>
        <w:t>Das FZA ist am 1. Juni 2002 in Kraft getreten. Es fragt sich, ob dieses Abkommen, insbesondere sein Anhang II, der die Koordinierung der Systeme der sozialen Sicherheit regelt, im vorliegenden Verfahren zu berücksichtigen ist ( BGE 128 V 315 Erw. 1) und ob der zu beurteilende Sachverhalt in seinen Anwendungsbereich fällt.</w:t>
      </w:r>
    </w:p>
    <w:p>
      <w:r>
        <w:rPr>
          <w:b/>
        </w:rPr>
        <w:t>E. 4.2</w:t>
      </w:r>
    </w:p>
    <w:p>
      <w:r>
        <w:t>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 Der am 1. Juni 2002 in Kraft getretene neue Art. 153a AHVG verweist in lit. a auf diese beiden Koordinierungsverordnungen (AS 2002 687).</w:t>
      </w:r>
    </w:p>
    <w:p>
      <w:r>
        <w:rPr>
          <w:b/>
        </w:rPr>
        <w:t>E. 4.3</w:t>
      </w:r>
    </w:p>
    <w:p>
      <w:r>
        <w:t>Der Beschwerdeführer erreichte das Alter für den Rentenvorbezug am 1. Juli 2002 und damit nach In-Kraft-Treten des FZA am 1. Juni 2002. Auch die streitige Verfügung wurde nach diesem Datum erlassen. Deshalb sind das Abkommen und die Koordinierungsverordnungen in zeitlicher Hinsicht anwendbar. Sie sind auf den Beschwerdeführer in persönlicher Hinsicht anwendbar, weil er als Arbeitnehmer gilt, der Staatsangehöriger eines Mitgliedstaats BGE 130 V 51 S. 54 ist und für welchen die Rechtsvorschriften eines oder mehrerer Mitgliedstaaten gelten oder galten (Art. 2 Abs. 1 Verordnung Nr. 1408/71). Auch der sachliche Anwendungsbereich ist vorliegend gegeben, da die Verordnung Nr. 1408/71 für alle Rechtsvorschriften über Zweige der sozialen Sicherheit gilt, die Leistungen bei Alter betreffen (Art. 4 Abs. 1 lit. c Verordnung Nr. 1408/71).</w:t>
      </w:r>
    </w:p>
    <w:p>
      <w:r>
        <w:rPr>
          <w:b/>
        </w:rPr>
        <w:t>E. 5.1</w:t>
      </w:r>
    </w:p>
    <w:p>
      <w:r>
        <w:t>Nach Art. 8 lit. c FZA regeln die Vertragsparteien die Koordinierung der Systeme der sozialen Sicherheit gemäss Anhang II, um die Zusammenrechnung aller nach den verschiedenen nationalen Rechtsvorschriften berücksichtigten Versicherungszeiten für den Erwerb und die Aufrechterhaltung des Leistungsanspruchs sowie für die Berechnung der Leistungen zu gewährleisten.</w:t>
      </w:r>
    </w:p>
    <w:p>
      <w:r>
        <w:rPr>
          <w:b/>
        </w:rPr>
        <w:t>E. 5.2</w:t>
      </w:r>
    </w:p>
    <w:p>
      <w:r>
        <w:t>Auf Grund von Art. 46 Abs. 1 Verordnung Nr. 1408/71 hat, falls wie im vorliegenden Fall die Voraussetzungen für den Leistungsanspruch nach den Rechtsvorschriften eines Mitgliedstaates auch ohne Berücksichtigung von Versicherungszeiten anderer Mitgliedstaaten gemäss Art. 45 und des Artikels 40 Abs. 3 Verordnung Nr. 1408/71 erfüllt sind, eine Vergleichsberechnung zu erfolgen: Zum einen ist die Rente allein nach innerstaatlichem Rentenrecht, d.h. vor allem nur unter Berücksichtigung der nach inländischem Rentenrecht anrechenbaren Zeiten, zu berechnen (Art. 46 Abs. 1 lit. a Ziff. i Verordnung Nr. 1408/71, sog. selbstständige Leistung: ROLF SCHULER, in: MAXIMILIAN FUCHS [Hrsg.], Kommentar zum Europäischen Sozialrecht, 3. Aufl., Baden-Baden 2002, N 7 ff. zu Art. 46 der Verordnung Nr. 1408/71). Zum zweiten ist die Rente gemeinschaftsrechtlich nach Art. 46 Abs. 2 Verordnung Nr. 1408/71 zu berechnen (Art. 46 Abs. 1 lit. a Ziff. ii Verordnung Nr. 1408/71). Danach findet bei Beteiligung von zwei oder mehreren Staaten ein Totalisierungs- und Proratisierungsverfahren statt, auf Grund dessen die Höhe des Rentenbetrags jedes Staates im Verhältnis zwischen den dort zurückgelegten Versicherungszeiten und der Gesamtheit der in den verschiedenen Staaten zurückgelegten Versicherungszeiten festgesetzt wird (Botschaft vom 23. Juni 1999 zur Genehmigung der sektoriellen Abkommen zwischen der Schweiz und der EG, BBl 1999 VII 6356, 6362 ff.; ROLAND A. MÜLLER, Soziale Sicherheit, in: THÜRER/WEBER/ZÄCH [Hrsg.], Bilaterale Verträge Schweiz-EG, Zürich 2002, S. 165). Während die nach Art. 46 Abs. 2 lit. a Verordnung Nr. 1408/71 durchzuführende Berechnung darauf abzielt, dem Arbeitnehmer BGE 130 V 51 S. 55 den höchsten theoretischen Betrag zu sichern, den er beanspruchen könnte, wenn alle seine Versicherungszeiten nur in dem betreffenden Staat zurückgelegt worden wären, hat die nach lit. b desselben Absatzes durchzuführende Berechnung nur den Zweck, die jeweilige Last der Leistungen nach dem Verhältnis der Dauer der in jedem dieser Mitgliedstaaten vor Eintritt des Versicherungsfalls zurückgelegten Versicherungszeiten auf die Träger der beteiligten Mitgliedstaaten zu verteilen (Urteil des Gerichtshofes der Europäischen Gemeinschaften [nachfolgend: EuGH] vom 26. Juni 1980 in der Rechtssache 793-79, Menzies, Slg. 1980 S. 2085; zur Bedeutung der EuGH-Rechtsprechung für die schweizerischen Gerichte vgl. Art. 16 Abs. 2 FZA , wonach, soweit für die Anwendung dieses Abkommens Begriffe des Gemeinschaftsrechts herangezogen werden, hierfür die einschlägige Rechtsprechung des EuGH vor dem Zeitpunkt der Unterzeichnung [21. Juni 1999] berücksichtigt wird).</w:t>
      </w:r>
    </w:p>
    <w:p>
      <w:r>
        <w:rPr>
          <w:b/>
        </w:rPr>
        <w:t>E. 5.3</w:t>
      </w:r>
    </w:p>
    <w:p>
      <w:r>
        <w:t>Gemäss Art. 46 Abs. 1 lit. b Verordnung Nr. 1408/71 kann auf die Berechnung nach der Totalisierungs- und Proratisierungsmethode verzichtet werden, wenn die Berechnung allein nach den nationalen Rechtsvorschriften zum gleichen oder zu einem besseren Ergebnis führt. Anhang IV, Teil C, der Verordnung Nr. 1408/71 zählt die Fälle im Sinne von Art. 46 Abs. 1 lit. b der Verordnung auf, in denen auf die Berechnung der Leistung gemäss Art. 46 Abs. 2 der Verordnung verzichtet werden kann.</w:t>
      </w:r>
    </w:p>
    <w:p>
      <w:r>
        <w:rPr>
          <w:b/>
        </w:rPr>
        <w:t>E. 5.4</w:t>
      </w:r>
    </w:p>
    <w:p>
      <w:r>
        <w:t>Für die Schweiz ist die ergänzende Bestimmung von Ziff. 1 lit. m Anhang II, Abschnitt A, FZA massgebend, wonach alle Anträge auf Alters-, Hinterlassenen- und Invalidenrenten des Grundsystems sowie auf Altersrenten des Systems der beruflichen Vorsorge als solche Fälle gelten, in denen auf die Berechnung der Leistung gemäss Art. 46 Abs. 2 Verordnung Nr. 1408/71 verzichtet werden kann. Die Schweiz konnte die autonome Rentenberechnung beibehalten, da sie nicht gegen den EU-Grundsatz verstösst, wonach ein nach den nationalen Vorschriften errechneter Betrag nicht kleiner sein darf als der Betrag, der sich aus der Zusammenrechnung der Versicherungszeiten und der Pro-Rata-Methode ergibt. Daher war nur eine Anpassung in der Aufwertung der Versicherungszeiten vor 1973 nötig (mit entsprechender Anpassung von Art. 52 AHVV ), um eine lineare Rentenberechnung zu gewährleisten (ALESSANDRA PRINZ, Auswirkungen des Freizügigkeitsabkommens auf die AHV- und IV-Leistungen, in: Soziale BGE 130 V 51 S. 56 Sicherheit [CHSS] 2002 S. 81; JÜRG BRECHBÜHL, Die Auswirkungen des Abkommens auf den Leistungsbereich der ersten und der zweiten Säule, in: Das Personenverkehrsabkommen mit der EU und seine Auswirkungen auf die soziale Sicherheit der Schweiz, Bern 2001 S. 111 f.; MÜLLER, a. a. O., S. 165 f.).</w:t>
      </w:r>
    </w:p>
    <w:p>
      <w:r>
        <w:rPr>
          <w:b/>
        </w:rPr>
        <w:t>E. 5.5</w:t>
      </w:r>
    </w:p>
    <w:p>
      <w:r>
        <w:t>Auch wenn der Beschwerdeführer somit in den Niederlanden bis zu seiner Übersiedlung in die Schweiz im 23. Altersjahr Versicherungszeiten zurückgelegt haben sollte, so wären diese bei der Berechnung der schweizerischen AHV-Rente nicht mit zu berücksichtigen. Eine vom Beschwerdeführer allenfalls in diesem Sinne gemeinte Diskriminierung kann es somit gar nicht geben, garantiert doch keine Vorschrift auf nationaler oder internationaler Ebene, dass eine Vollrente unbeachtet einer durch Landesabwesenheit bedingten Verminderung der inländischen Versicherungszeiten zugesprochen werden kann. Dass die nationalen Stellen bei der Berechnung des von ihnen zu zahlenden Rentenbetrags die in einem anderen Mitgliedstaat zurückgelegten Versicherungszeiten nicht berücksichtigen, ist vielmehr Teil der Konzeption der Verordnung Nr. 1408/71, die eigenständige Systeme hat bestehen lassen, die eigenständige Forderungen gegen eigenständige Träger gewähren, gegen die dem Leistungsberechtigten unmittelbare Ansprüche zustehen (Urteil des EuGH vom 7. Juli 1994 in der Rechtssache C - 146/93, McLachlan, Slg. 1994 S. I-3229).</w:t>
      </w:r>
    </w:p>
    <w:p>
      <w:r>
        <w:rPr>
          <w:b/>
        </w:rPr>
        <w:t>E. 6</w:t>
      </w:r>
    </w:p>
    <w:p>
      <w:r>
        <w:t>Falls im Hinblick auf einen allfälligen holländischen (Teil-)Rentenanspruch kein zwischenstaatliches Meldeverfahren durchgeführt wurde, wäre dies noch nachzuholen (vgl. Kreisschreiben über das Verfahren zur Rentenfestsetzung in der AHV/IV [KSBIL], Rz 2010 und 2017-2019).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