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501</w:t>
      </w:r>
    </w:p>
    <w:p>
      <w:r>
        <w:t>Bundesgericht (BGE), 2004-01-01, DE</w:t>
      </w:r>
    </w:p>
    <w:p>
      <w:r>
        <w:rPr>
          <w:b/>
        </w:rPr>
        <w:t xml:space="preserve">Quelle: </w:t>
      </w:r>
      <w:r>
        <w:t>https://mcp.opencaselaw.ch/entscheid/bge_BGE_130_V_501</w:t>
      </w:r>
    </w:p>
    <w:p>
      <w:r>
        <w:t>FR: ATF 130 V 501</w:t>
      </w:r>
    </w:p>
    <w:p>
      <w:r>
        <w:t>IT: DTF 130 V 501</w:t>
      </w:r>
    </w:p>
    <w:p>
      <w:pPr>
        <w:pStyle w:val="Heading2"/>
      </w:pPr>
      <w:r>
        <w:t>Regeste</w:t>
      </w:r>
    </w:p>
    <w:p>
      <w:r>
        <w:t>Regeste Art. 110 Abs. 1 OG; Art. 73 Abs. 3 und 4 BVG: Ausdehnung des Schriftenwechsels auf andere Beteiligte. Durch die Beiladung wird die Rechtskraft des (letztinstanzlich gefällten) Urteils auf die beigeladene Vorsorgeeinrichtung ausgedehnt. In einem allfälligen später gegen sie gerichteten Prozess hat die Beigeladene das Urteil gegen sich gelten zu lassen. Weiter gehende Wirkungen kommen der Beiladung nicht zu; sie führt namentlich nicht dazu, dass über Rechtsbegehren zu befinden ist, welche die Zusprechung von Leistungen der beigeladenen Vorsorgeeinrichtung zum Gegenstand haben (Erw. 1).</w:t>
      </w:r>
    </w:p>
    <w:p>
      <w:r>
        <w:t>Regeste Art. 110 al. 1 OJ; art. 73 al. 3 et 4 LPP: Extension de l'échange d'écritures à d'autres intéressés. Par une invitation à participer à la procédure, l'entrée en force du jugement (de dernière instance) s'étend à l'institution de prévoyance intéressée. En cas d'un éventuel procès ultérieur dirigé contre elle, l'intéressée peut se voir opposer le jugement à son détriment. L'intervention n'a pas d'effets plus étendus; en particulier, elle n'a pas pour conséquence à ce qu'il soit statué sur des conclusions ayant pour objet l'octroi de prestations de la part de l'institution de prévoyance intéressée (consid. 1).</w:t>
      </w:r>
    </w:p>
    <w:p>
      <w:r>
        <w:t>Regesto Art. 110 cpv. 1 OG; art. 73 cpv. 3 e 4 LPP: Estensione dello scambio degli allegati ad altri cointeressati. Con l'invito a partecipare alla procedura, l'autorità di cosa giudicata del giudizio (di ultima istanza) si estende all'istituto di previdenza cointeressato. Nell'eventualità di un processo successivamente intentato nei suoi confronti, la parte cointeressata deve lasciarsi opporre il giudizio. L'invito a partecipare alla procedura non esplica ulteriori effetti; in particolare, esso non determina una pronuncia in merito a conclusioni aventi per oggetto l'assegnazione di prestazioni da parte dell'istituto di previdenza cointeressato (consid. 1).</w:t>
      </w:r>
    </w:p>
    <w:p>
      <w:pPr>
        <w:pStyle w:val="Heading2"/>
      </w:pPr>
      <w:r>
        <w:t>Erwägungen</w:t>
      </w:r>
    </w:p>
    <w:p>
      <w:r>
        <w:rPr>
          <w:b/>
        </w:rPr>
        <w:t>E. 1.1</w:t>
      </w:r>
    </w:p>
    <w:p>
      <w:r>
        <w:t>Für die Umschreibung des Prozessthemas ist nach den Regeln über den Anfechtungs- und Streitgegenstand zu verfahren. Streitgegenstand im System der nachträglichen Verwaltungsrechtspflege, wie sie vor dem Eidgenössischen Versicherungsgericht auch in Berufsvorsorgestreitigkeiten ( Art. 73 Abs. 4 BVG ) stattfindet (Art. 128 in Verbindung mit Art. 97 ff. OG ), ist demnach das Rechtsverhältnis, welches - im Rahmen des durch den vorinstanzlichen Entscheid bestimmten Anfechtungsgegenstandes - den auf Grund der Beschwerdebegehren effektiv angefochtenen Verfügungsgegenstand der kantonalen Instanz gemäss Art. 98 lit. g OG bildet. Anfechtungsgegenstand und Streitgegenstand sind identisch, wenn die Verfügung (letztinstanzlich: der kantonale Gerichtsentscheid)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Hat die Verfügung nur ein Rechtsverhältnis zum Gegenstand und wird hiegegen Beschwerde geführt, macht der Anfechtungs- gleichzeitig den Streitgegenstand aus ( BGE 125 V 413 ff. Erw. 1b in Verbindung mit Erw. 2a; Urteil M. vom 18. Juni 2004, B 75/03, mit Hinweisen; MEYER-BLASER, Der Streitgegenstand im Streit - Erläuterungen zu BGE 125 V 413 , in: SCHAFFHAUSER/SCHLAURI [Hrsg.], Aktuelle Rechtsfragen der Sozialversicherungspraxis, St. Gallen 2001, S. 25 f.).</w:t>
      </w:r>
    </w:p>
    <w:p>
      <w:r>
        <w:rPr>
          <w:b/>
        </w:rPr>
        <w:t>E. 1.2</w:t>
      </w:r>
    </w:p>
    <w:p>
      <w:r>
        <w:t>Indem das Eidgenössische Versicherungsgericht die Lebensversicherungsanstalt R. AG gemäss Art. 110 Abs. 1 in Verbindung mit Art. 132 OG als Mitbeteiligte in das Verfahren einbezogen hat, wird die Rechtskraft des letztinstanzlich gefällten Urteils auf die Beigeladene ausgedehnt, sodass diese in einem allfälligen später gegen sie gerichteten Prozess jenes gegen sich gelten lassen muss ( BGE 125 V 94 Erw. 8b; RKUV 2003 Nr. U 485 S. 257 Erw. 3; vgl. auch BGE 118 Ib 360 Erw. 1c und RKUV 2003 Nr. KV 254 S. 237 Erw. 5.4; KÖLZ/BOSSHART/RÖHL, Kommentar zum Verwaltungsrechtspflegegesetz des Kantons Zürich, 2. Aufl., Zürich 1999, N 108 zu § 21; ISABELLE HÄNER, Die Beteiligten im Verwaltungsverfahren und Verwaltungsprozess, Zürich 2000, S. 166 N 299). Weiter gehende Wirkungen kommen der Beiladung nicht zu. Durch die BGE 130 V 501 S. 503 Beiladung wird namentlich der Anfechtungs- und Streitgegenstand - hier der Anspruch der Beschwerdeführerin gegenüber der Beschwerdegegnerin auf eine Invalidenrente nach BVG (vgl. Erw. 1.1 hievor) - nicht erweitert. Daran ändert auch der Umstand nichts, dass sich die Lebensversicherungsanstalt R. AG als Beigeladene im letztinstanzlichen Prozess vernehmlassungsweise auf den Standpunkt stellt, ihrerseits nicht leistungspflichtig zu sein. Über Rechtsbegehren, welche die Zusprechung einer Invalidenrente (oder die Feststellung einer Leistungspflicht) durch eine vorinstanzlich nicht eingeklagte Vorsorgeeinrichtung zum Gegenstand haben, ist, da ausserhalb des Anfechtungsgegenstandes liegend, letztinstanzlich nicht zu befinden. Wohl kann das Eidgenössische Versicherungsgericht rechtsprechungsgemäss das verwaltungsgerichtliche Verfahren aus prozessökonomischen Gründen auf eine ausserhalb des Anfechtungsgegenstandes, d.h. ausserhalb des durch die Verfügung bestimmten Rechtsverhältnisses liegende spruchreife Frage ausgedehnen, wenn diese mit dem bisherigen Streitgegenstand derart eng zusammenhängt, dass von einer Tatbestandsgesamtheit gesprochen werden kann, und wenn sich die Verwaltung zu dieser Streitfrage mindestens in Form einer Prozesserklärung geäussert hat ( BGE 122 V 36 Erw. 2a mit Hinweisen). Eine - analoge - Anwendung dieser Grundsätze in der Weise, dass über die Leistungspflicht einer vorinstanzlich nicht eingeklagten Vorsorgeeinrichtung im Prozess vor dem Eidgenössischen Versicherungsgericht zu befinden wäre, fällt indes bereits deshalb ausser Betracht, weil durch die gesetzliche Konzeption des erstinstanzlichen Prozesses als Klageverfahren ( Art. 73 Abs. 3 BVG ) im kantonalen Verfahren bestimmt wird, wem als Kläger oder Beklagtem Parteistellung zukommt. Ist sich die einen Anspruch geltend machende Person im Zeitpunkt der Klageerhebung nicht schlüssig darüber, welche Vorsorgeeinrichtung Versicherungsleistungen zu erbringen hat, steht es ihr frei, mehrere Klagen bei den örtlich zuständigen kantonalen Gerichten (vgl. Art. 73 Abs. 3 BVG ) anzuheben. Ist sich eine (nicht anwaltlich vertretene) Partei dieses Umstandes offensichtlich nicht bewusst, ist ein entsprechender verfahrensrechtlicher Hinweis durch das mit der Sache befasste kantonale Gericht statthaft (vgl. zur richterlichen Prozessleitung: GYGI, Bundesverwaltungsrechtspflege, 2. Aufl., Bern 1983, S. 55). Schliesslich kann der Gefahr etwaiger Anspruchsvernichtung zufolge Verjährung durch die Einholung entsprechender Verzichtserklärungen entgegengewirkt werden. BGE 130 V 501 S. 504</w:t>
      </w:r>
    </w:p>
    <w:p>
      <w:r>
        <w:rPr>
          <w:b/>
        </w:rPr>
        <w:t>E. 1.3</w:t>
      </w:r>
    </w:p>
    <w:p>
      <w:r>
        <w:t>Das in der Verwaltungsgerichtsbeschwerde unter Ziff. 4 gestellte Eventualbegehren zielt darauf, eine Leistungspflicht der Lebensversicherungsanstalt R. AG festzustellen, um einen erneuten Prozess zu verhindern. Im Lichte der in Erw. 1.1 und 1.2 eben dargelegten Grundsätze zum Anfechtungs- und Streitgegenstand sowie zur Beiladung ist die Rechtsvorkehr in diesem Punkt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