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445</w:t>
      </w:r>
    </w:p>
    <w:p>
      <w:r>
        <w:t>Bundesgericht (BGE), 2003-01-01, DE</w:t>
      </w:r>
    </w:p>
    <w:p>
      <w:r>
        <w:rPr>
          <w:b/>
        </w:rPr>
        <w:t xml:space="preserve">Quelle: </w:t>
      </w:r>
      <w:r>
        <w:t>https://mcp.opencaselaw.ch/entscheid/bge_BGE_130_V_445</w:t>
      </w:r>
    </w:p>
    <w:p>
      <w:r>
        <w:t>FR: ATF 130 V 445</w:t>
      </w:r>
    </w:p>
    <w:p>
      <w:r>
        <w:t>IT: DTF 130 V 445</w:t>
      </w:r>
    </w:p>
    <w:p>
      <w:pPr>
        <w:pStyle w:val="Heading2"/>
      </w:pPr>
      <w:r>
        <w:t>Regeste</w:t>
      </w:r>
    </w:p>
    <w:p>
      <w:r>
        <w:t>Regeste Art. 82 Abs. 1 ATSG: Intertemporalrechtliche Anwendbarkeit materieller Bestimmungen des ATSG bei Dauerleistungen. Bei der Prüfung eines allfälligen schon vor dem In-Kraft-Treten des ATSG auf den 1. Januar 2003 entstandenen Anspruchs auf eine Rente der Invalidenversicherung sind die allgemeinen intertemporalrechtlichen Regeln heranzuziehen, gemäss welchen grundsätzlich diejenigen Rechtssätze massgebend sind, die bei Verwirklichung des zu Rechtsfolgen führenden Sachverhalts galten. Demzufolge ist der Rentenanspruch für die Zeit bis 31. Dezember 2002 auf Grund der bisherigen und ab diesem Zeitpunkt nach den neuen Normen zu prüfen (Erw. 1).</w:t>
      </w:r>
    </w:p>
    <w:p>
      <w:r>
        <w:t>Regeste Art. 82 al. 1 LPGA: Application intertemporelle des dispositions matérielles de la LPGA en cas de prestations durables. Lors de l'examen d'un éventuel droit à une rente de l'assurance-invalidité né avant l'entrée en vigueur au 1er janvier 2003 de la LPGA, il y a lieu de se référer aux principes généraux en matière de droit intertemporel selon lesquels sont en règle générale déterminantes, les dispositions légales en vigueur lors de la réalisation de l'état de fait qui a des conséquences juridiques. Par conséquent, le droit à la rente s'examine pour la période s'étendant jusqu'au 31 décembre 2002 à la lumière des anciennes normes et, à partir de ce moment-là, des nouvelles (consid. 1).</w:t>
      </w:r>
    </w:p>
    <w:p>
      <w:r>
        <w:t>Regesto Art. 82 cpv. 1 LPGA: Applicabilità intertemporale delle disposizioni materiali della LPGA in caso di prestazioni durevoli. Per l'esame relativo all'eventuale insorgenza di un diritto a una rendita dell'assicurazione per l'invalidità già prima dell'entrata in vigore della LPGA, il 1° gennaio 2003, occorre rifarsi ai principi generali sviluppati in materia di diritto intertemporale che dichiarano applicabile l'ordinamento in vigore al momento della realizzazione dello stato di fatto giuridicamente determinante. Di conseguenza, per il periodo fino al 31 dicembre 2002, l'esame del diritto alla rendita avviene sulla base del precedente ordinamento, mentre a partire da questa data esso avviene secondo le nuove norme (consid. 1).</w:t>
      </w:r>
    </w:p>
    <w:p>
      <w:pPr>
        <w:pStyle w:val="Heading2"/>
      </w:pPr>
      <w:r>
        <w:t>Erwägungen</w:t>
      </w:r>
    </w:p>
    <w:p>
      <w:r>
        <w:rPr>
          <w:b/>
        </w:rPr>
        <w:t>E. 1.1</w:t>
      </w:r>
    </w:p>
    <w:p>
      <w:r>
        <w:t>Am 1. Januar 2003 sind das Bundesgesetz über den Allgemei nen Teil des Sozialversicherungsrechts vom 6. Oktober 2000 (ATSG) und die Verordnung über den Allgemeinen Teil des Sozialversicherungsrechts (ATSV) vom 11. September 2002 in Kraft getreten. Mit ihnen sind unter anderem auch im Invalidenversicherungsrecht verschiedene materiellrechtliche Bestimmungen geändert worden.</w:t>
      </w:r>
    </w:p>
    <w:p>
      <w:r>
        <w:rPr>
          <w:b/>
        </w:rPr>
        <w:t>E. 1.2</w:t>
      </w:r>
    </w:p>
    <w:p>
      <w:r>
        <w:t>Zu beurteilen ist, ob die Beschwerdeführerin Anspruch auf eine Invalidenrente hat, wobei allfällige Rentenleistungen frühestens ab 1. Juli 2000 zugesprochen werden könnten. Dies wurde mit Einspracheentscheid vom 7. März 2003 verneint. Fraglich ist mithin, da das Sozialversicherungsgericht bei der Beurteilung eines Falles grundsätzlich auf den bis zum Zeitpunkt des Erlasses des streitigen Einspracheentscheides (hier: 7. März 2003) eingetretenen Sachverhalt abstellt ( BGE 129 V 4 Erw. 1.2, BGE 129 V 169 Erw. 1, 356 Erw. 1, je mit Hinweisen), ob die Bestimmungen des ATSG auf den vorliegenden Fall Anwendung finden.</w:t>
      </w:r>
    </w:p>
    <w:p>
      <w:r>
        <w:rPr>
          <w:b/>
        </w:rPr>
        <w:t>E. 1.2.1</w:t>
      </w:r>
    </w:p>
    <w:p>
      <w:r>
        <w:t>Das Eidgenössische Versicherungsgericht hat in BGE 130 V 329 erkannt, dass sich aus der Übergangsbestimmung des Art. 82 Abs. 1 ATSG , mit Ausnahme der darin speziell geregelten Sachverhalte, keine allgemein gültigen intertemporalrechtlichen Schlüsse ziehen lassen. Art. 82 Abs. 1 ATSG hat - wie in Erw. 2.2 des Urteils erwogen wird - nur eine beschränkte Tragweite und will lediglich Fälle von der Anwendbarkeit des neuen Gesetzes ausnehmen, in welchen über die Rechte und Pflichten vor dem 1. Januar 2003 rechtskräftig verfügt worden ist (" ... bei seinem Inkrafttreten laufenden Leistungen und festgesetzten Forderungen ..." [Satz 1: Regel]); dies vorbehältlich der Anpassung von rechtskräftig verfügten Leistungskürzungen an Art. 21 ATSG mit Wirkung ab 1. Januar 2003 (Satz 2: Ausnahme). Insbesondere lässt sich daraus somit nicht ableiten, dass der Zeitpunkt des Erlasses der Verfügung oder - bei Durchführung des Einspracheverfahrens - des BGE 130 V 445 S. 447 Einspracheentscheides für die Anwendung der materiellen Normen des neuen Gesetzes in Bezug auf Leistungen, welche bei dessen In-Kraft-Treten (1. Januar 2003) noch nicht rechtskräftig festgelegt worden sind, massgebend ist. Vielmehr muss diesbezüglich - von den in Art. 82 Abs. 1 ATSG spezifisch normierten Tatbeständen abgesehen - von den allgemeinen Regeln ausgegangen werden, welche im Bereich des Übergangsrechts entwickelt worden sind. Danach sind in zeitlicher Hinsicht - auch bei einer Änderung der gesetzlichen Grundlage - grundsätzlich diejenigen Rechtssätze relevant, die bei der Verwirklichung des zu Rechtsfolgen führenden Sachverhaltes in Geltung standen ( BGE 129 V 4 Erw. 1.2, BGE 129 V 169 Erw. 1, 356 Erw. 1, je mit Hinweisen). An diesem Ergebnis vermag der Umstand, dass in BGE 130 V 332 nicht, wie im vorliegenden Fall, über Dauerleistungen, sondern über den Anspruch auf Verzugszinsen gestützt auf eine im Jahr 2001 fällig gewordene, aber erst 2003 ausbezahlte einmalige Pauschalentschädigung zu befinden war, nichts zu ändern. Die zuvor dargelegte Lösung stellt zufolge ihres allgemein gültigen Bedeutungsgehaltes einen für alle Rechtsverhältnisse - und somit auch für Dauerleistungen - geltenden intertemporalrechtlichen Grundsatz auf.</w:t>
      </w:r>
    </w:p>
    <w:p>
      <w:r>
        <w:rPr>
          <w:b/>
        </w:rPr>
        <w:t>E. 1.2.2</w:t>
      </w:r>
    </w:p>
    <w:p>
      <w:r>
        <w:t>Liegen demnach keine laufenden Leistungen im Sinne des Art. 82 Abs. 1 ATSG vor und werden - bedingt durch den fragmentarischen Charakter der übergangsrechtlichen Ordnung des ATSG - folglich die allgemeinen intertemporalrechtlichen Regeln herangezogen, ist der Rentenanspruch für die Zeit bis 31. Dezember 2002 auf Grund der bisherigen und ab diesem Zeitpunkt nach den neuen Normen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