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111</w:t>
      </w:r>
    </w:p>
    <w:p>
      <w:r>
        <w:t>Bundesgericht (BGE), 2004-01-01, DE</w:t>
      </w:r>
    </w:p>
    <w:p>
      <w:r>
        <w:rPr>
          <w:b/>
        </w:rPr>
        <w:t xml:space="preserve">Quelle: </w:t>
      </w:r>
      <w:r>
        <w:t>https://mcp.opencaselaw.ch/entscheid/bge_BGE_130_V_111</w:t>
      </w:r>
    </w:p>
    <w:p>
      <w:r>
        <w:t>FR: ATF 130 V 111</w:t>
      </w:r>
    </w:p>
    <w:p>
      <w:r>
        <w:t>IT: DTF 130 V 111</w:t>
      </w:r>
    </w:p>
    <w:p>
      <w:pPr>
        <w:pStyle w:val="Heading2"/>
      </w:pPr>
      <w:r>
        <w:t>Regeste</w:t>
      </w:r>
    </w:p>
    <w:p>
      <w:r>
        <w:t>Regeste Art. 122 und 142 ZGB; Art. 22 und 25a FZG; Art. 73 BVG: Sachliche Zuständigkeit. Die sachliche Zuständigkeit des Sozialversicherungsgerichts zur Teilung von Austrittsleistungen im Scheidungsfall erstreckt sich auch auf Streitigkeiten mit Freizügigkeitseinrichtungen (Erw. 3).</w:t>
      </w:r>
    </w:p>
    <w:p>
      <w:r>
        <w:t>Regeste Art. 122 et 142 CC; art. 22 et 25a LFLP; art. 73 LPP: Compétence matérielle. La compétence matérielle du tribunal des assurances sociales en matière de partage des prestations de sortie en cas de divorce s'étend également aux litiges avec des institutions de libre passage (consid. 3).</w:t>
      </w:r>
    </w:p>
    <w:p>
      <w:r>
        <w:t>Regesto Art. 122 e 142 CC; art. 22 e 25a LFLP; art. 73 LPP: Competenza ratione materiae. La competenza ratione materiae del Tribunale delle assicurazioni sociali per la ripartizione delle prestazioni d'uscita in caso di divorzio si estende ugualmente alle controversie con gli istituti di libero passaggio (consid. 3).</w:t>
      </w:r>
    </w:p>
    <w:p>
      <w:pPr>
        <w:pStyle w:val="Heading2"/>
      </w:pPr>
      <w:r>
        <w:t>Erwägungen</w:t>
      </w:r>
    </w:p>
    <w:p>
      <w:r>
        <w:rPr>
          <w:b/>
        </w:rPr>
        <w:t>E. 3.1.1</w:t>
      </w:r>
    </w:p>
    <w:p>
      <w:r>
        <w:t>Gemäss Art. 73 BVG bezeichnet jeder Kanton als letzte kantonale Instanz ein Gericht, das über Streitigkeiten zwischen Vorsorgeeinrichtungen, Arbeitgebern und Anspruchsberechtigten entscheidet (Abs. 1 Satz 1). Die Entscheide der kantonalen Gerichte können auf dem Wege der Verwaltungsgerichtsbeschwerde beim Eidgenössischen Versicherungsgericht angefochten werden (Abs. 4).</w:t>
      </w:r>
    </w:p>
    <w:p>
      <w:r>
        <w:rPr>
          <w:b/>
        </w:rPr>
        <w:t>E. 3.1.2</w:t>
      </w:r>
    </w:p>
    <w:p>
      <w:r>
        <w:t>Die Zuständigkeit der in Art. 73 BVG genannten Gerichte ist an zwei Voraussetzungen geknüpft: BGE 130 V 111 S. 113 Zunächst ist in sachlicher Hinsicht erforderlich, dass die Streitigkeit die berufliche Vorsorge im engeren oder weiteren Sinn beschlägt. Das ist dann der Fall, wenn die Streitigkeit spezifisch den Rechtsbereich der beruflichen Vorsorge betrifft und das Vorsorgeverhältnis zwischen einer anspruchsberechtigten Person und einer Vorsorgeeinrichtung zum Gegenstand hat. Im Wesentlichen geht es somit um Streitigkeiten betreffend Versicherungsleistungen, Freizügigkeitsleistungen (nunmehr Eintritts- und Austrittsleistungen) und Beiträge. Der Rechtsweg nach Art. 73 BVG steht dagegen nicht offen, wenn die Streitigkeit ihre rechtliche Grundlage nicht in der beruflichen Vorsorge hat, selbst wenn sie sich vorsorgerechtlich auswirkt. In persönlicher Hinsicht ist die Zuständigkeit nach Art. 73 BVG dadurch bestimmt, dass das Gesetz den Kreis der möglichen Verfahrensbeteiligten, welche Partei eines Berufsvorsorgeprozesses nach Art. 73 BVG sein können, auf die Vorsorgeeinrichtungen, die Arbeitgeber und die Anspruchsberechtigten beschränkt. Was insbesondere den Begriff der Vorsorgeeinrichtung im Sinne von Art. 73 Abs. 1 BVG betrifft, weicht dieser nicht von der Umschreibung in Art. 48 BVG ab. Gemeint sind die registrierten Vorsorgeeinrichtungen, welche an der Durchführung der obligatorischen Versicherung teilnehmen ( Art. 48 Abs. 1 BVG ) und die Möglichkeit haben, die Vorsorge über die gesetzlichen Mindestleistungen hinaus zu erweitern (sog. umhüllende Vorsorgeeinrichtungen; Art. 49 Abs. 2 BVG ) sowie die nicht registrierten Personalfürsorgestiftungen im Sinne von Art. 89 bis Abs. 6 ZGB , welche im Bereich der beruflichen Vorsorge tätig sind ( BGE 128 II 389 Erw. 2.1.1, BGE 128 V 44 Erw. 1b, BGE 128 V 258 Erw. 2a, BGE 127 V 35 Erw. 3b mit Hinweisen).</w:t>
      </w:r>
    </w:p>
    <w:p>
      <w:r>
        <w:rPr>
          <w:b/>
        </w:rPr>
        <w:t>E. 3.1.3</w:t>
      </w:r>
    </w:p>
    <w:p>
      <w:r>
        <w:t>Nach der Rechtsprechung des Eidgenössischen Versicherungsgerichts ( BGE 122 V 320 ; SZS 1999 S. 48, BGE 122 V 1998 S. 122) steht der Rechtsweg nach Art. 73 BVG nicht offen, wenn zwischen einem Versicherten und einer Freizügigkeitseinrichtung (Bankstiftung, Versicherungseinrichtung) im Zusammenhang mit einer Freizügigkeitspolice oder einem Freizügigkeitskonto (vgl. dazu auch Art. 10 FZV ) Streitigkeiten entstehen, wie beispielsweise über die Höhe oder den Zeitpunkt der Auszahlung.</w:t>
      </w:r>
    </w:p>
    <w:p>
      <w:r>
        <w:rPr>
          <w:b/>
        </w:rPr>
        <w:t>E. 3.2.1</w:t>
      </w:r>
    </w:p>
    <w:p>
      <w:r>
        <w:t>Das kantonale Gericht hat für die Abgrenzung der sachlichen Zuständigkeit im Rahmen von Art. 22 und Art. 25a FZG auf BGE 130 V 111 S. 114 die erwähnte höchstrichterliche Rechtsprechung (Erw. 3.1.3 hievor) abgestellt, welche indessen unter der Herrschaft des bis 31. Dezember 1999 gültig gewesenen Scheidungsrechts ergangen ist. Mit In-Kraft-Treten des neuen Scheidungsrechts (Gesetzesänderung vom 26. Juni 1998) am 1. Januar 2000 sind die Aufteilung der Ansprüche aus der beruflichen Vorsorge unter den Ehegatten ( Art. 122 ff. ZGB ; Art. 22-22c FZG ) und das dabei zu beachtende Verfahren (Art. 141 f. ZGB; Art. 25a FZG ), namentlich die Zuständigkeit von Scheidungsgericht und Vorsorgegericht, neu geregelt worden.</w:t>
      </w:r>
    </w:p>
    <w:p>
      <w:r>
        <w:rPr>
          <w:b/>
        </w:rPr>
        <w:t>E. 3.2.2</w:t>
      </w:r>
    </w:p>
    <w:p>
      <w:r>
        <w:t>Art. 122 Abs. 1 ZGB räumt jedem Ehegatten Anspruch auf die Hälfte der nach dem Freizügigkeitsgesetz vom 17. Dezember 1993 für die Ehedauer zu ermittelnden Austrittsleistung des anderen Ehegatten ein, wenn ein Ehegatte oder beide Ehegatten einer Einrichtung der beruflichen Vorsorge angehören und bei keinem Ehegatten ein Vorsorgefall eingetreten ist. Dabei sind grundsätzlich sämtliche Ansprüche aus Vorsorgeverhältnissen zu teilen, die dem FZG unterstehen, somit auch Freizügigkeitspolicen oder Freizügigkeitskonti im Sinne von Art. 10 FZV ( BGE 128 V 45 Erw. 2b mit Hinweis auf BAUMANN/LAUTERBURG, in: SCHWENZER [Hrsg.], Praxiskommentar Scheidungsrecht, Basel 2000, N 45 f. zu Art. 122 ZGB ; THOMAS GEISER, Berufliche Vorsorge im neuen Scheidungsrecht, in: HAUSHEER [Hrsg.], Vom alten zum neuen Scheidungsrecht, Bern 1999, S. 65 N 2.20; HEINZ HAUSHEER, Die wesentlichen Neuerungen des neuen Scheidungsrechts, in: ZBJV 1999 S. 12 f.; SCHNEIDER/BRUCHEZ, La prévoyance professionnelle et le divorce, in: Le nouveau droit du divorce, Lausanne 2000, S. 214 f.; SUTTER/FREIBURGHAUS, Kommentar zum neuen Scheidungsrecht, Zürich 1999, S. 195 Rz 11 f.; HERMANN WALSER, Berufliche Vorsorge, in: Das neue Scheidungsrecht, Zürich 1999, S. 52). Dies kommt auch im Wortlaut von Art. 22 Abs. 2 FZG zum Ausdruck, wonach bei der Ermittlung der zu teilenden Austrittsleistung auch allfällige "Freizügigkeitsguthaben" ("avoirs de libre passage"; "averi di libero passaggio") zu berücksichtigen sind (vgl. dazu auch die Botschaft des Bundesrates über die Änderung des Schweizerischen Zivilgesetzbuches vom 15. November 1995, BBl 1996 I 106 unten). Von der Teilung nach Art. 122 ZGB werden mithin sämtliche Ansprüche aus den Säulen 2a und 2b (dazu BGE 129 III 305 ) erfasst. Nicht darunter fallen hingegen die Ansprüche aus der ersten und der dritten Säule (bundesrätliche Botschaft, a.a.O., S. 101 f.; SUTTER/FREIBURGHAUS, a.a.O., S. 179 Rz 14 f.; WALSER, Kommentar BGE 130 V 111 S. 115 zum Schweizerischen Privatrecht [Basler Kommentar], Zivilgesetzbuch I, Art. 1-456 ZGB , 2. Aufl., Basel 2002, N 4 zu Art. 122).</w:t>
      </w:r>
    </w:p>
    <w:p>
      <w:r>
        <w:rPr>
          <w:b/>
        </w:rPr>
        <w:t>E. 3.2.3</w:t>
      </w:r>
    </w:p>
    <w:p>
      <w:r>
        <w:t>Ist ein Anwendungsfall von Art. 122 ZGB gegeben und haben sich die Ehegatten über die Teilung der Austrittsleistungen sowie die Art der Durchführung der Teilung nicht geeinigt (vgl. Art. 141 Abs. 1 ZGB ), so entscheidet das Scheidungsgericht gemäss Art. 142 Abs. 1 ZGB über das Verhältnis, in welchem die Austrittsleistungen zu teilen sind. Sobald dieser Entscheid über das Teilungsverhältnis rechtskräftig ist, überweist das Scheidungsgericht die Streitsache von Amtes wegen dem nach dem FZG zuständigen Gericht ( Art. 142 Abs. 2 ZGB ). Dementsprechend bestimmt der mit der Scheidungsrechtsrevision eingefügte Art. 25a FZG , dass bei Nichteinigung der Ehegatten über die zu übertragende Austrittsleistung das am Ort der Scheidung nach Art. 73 Abs. 1 BVG zuständige Gericht gestützt auf den vom Scheidungsgericht bestimmten Teilungsschlüssel die Teilung von Amtes wegen durchzuführen hat, nachdem ihm die Streitsache überwiesen worden ist (Abs. 1). Die Ehegatten und die Einrichtungen der beruflichen Vorsorge haben in diesem Verfahren Parteistellung. Das Gericht setzt ihnen eine angemessene Frist, um Anträge zu stellen (Abs. 2).</w:t>
      </w:r>
    </w:p>
    <w:p>
      <w:r>
        <w:rPr>
          <w:b/>
        </w:rPr>
        <w:t>E. 3.3</w:t>
      </w:r>
    </w:p>
    <w:p>
      <w:r>
        <w:t>Für die unter Art. 122 ZGB fallenden und im Rahmen der Ehescheidung zu teilenden Austrittsleistungen der beruflichen Vorsorge hat der Gesetzgeber mit der Einführung des neuen Scheidungsrechts in den Art. 141/142 ZGB und Art. 25a FZG das Scheidungsverfahren mit den Verfahren über Ansprüche aus der beruflichen Vorsorge koordiniert und auf eine neue Grundlage gestellt (bundesrätliche Botschaft, a.a.O., S. 111 oben). Namentlich wollte er in diese Koordination nicht nur die Vorsorgeeinrichtungen, sondern auch die Freizügigkeitseinrichtungen miteinbeziehen. Aus diesem Grund hat er in den Art. 141/142 ZGB und Art. 25a Abs. 2 FZG bewusst den Terminus "Einrichtungen der beruflichen Vorsorge" ("institutions de prévoyance professionnelle"; "istituti di previdenza professionale") gewählt und nicht etwa die in Art. 48 ff. BVG enthaltene Wendung "Vorsorgeeinrichtungen" (bundesrätliche Botschaft, a.a.O., S. 103 oben; SUTTER/FREIBURGHAUS, a.a.O., S. 195 Rz 12). Angesichts der gesetzgeberischen Koordinationsbestrebungen macht es denn auch keinen Sinn, das im Falle von Art. 142 ZGB einzuschlagende Verfahren seinerseits wieder zu splitten, je nachdem ob eine Vorsorgeeinrichtung oder eine Freizügigkeitseinrichtung (Lebensversicherungs-Gesellschaft oder Bank) für BGE 130 V 111 S. 116 eine der Scheidungsparteien ein Vorsorgekonto oder eine Freizügigkeitspolice führt. Die von der Vorinstanz vertretene Auffassung widerspricht nicht nur der Verfahrensökonomie, sondern auch dem in Art. 122 Abs. 2 ZGB enthaltenen Grundsatz, wonach bei gegenseitigen Ansprüchen auf Austrittsleistung nur der Differenzbetrag zu teilen ist ( BGE 129 V 251 ). Im Schrifttum wird denn auch überwiegend die Zuständigkeit des Sozialversicherungsgerichts für sämtliche zu teilenden Austrittsleistungen der beruflichen Vorsorge bejaht (SCHNEIDER/BRUCHEZ, a.a.O., S. 215, insbesondere Fn 96, S. 253; SUTTER/FREIBURGHAUS, a.a.O., S. 195 Rz 12; VETTERLI/ KEEL, Die Aufteilung der beruflichen Vorsorge in der Scheidung, in: AJP 1999 S. 1625 f.). Eine andere Vorgehensweise läuft nicht nur der Prozessökonomie zuwider, sondern wäre unpraktikabel und praktisch überhaupt nicht durchführbar. VETTERLI/KEEL (a.a.O., S. 1626) halten eine Gabelung des Rechtswegs denn auch zu Recht für "undenkbar". Andernfalls müssten sich nicht nur das Scheidungsgericht und das Sozialversicherungsgericht mit der Aufgabe der Teilung der Austrittsleistungen bei Ehescheidung befassen, sondern zusätzlich noch ein anderes Zivilgericht, mit welchem das Sozialversicherungsgericht sein Verfahren und Urteil abstimmen müsste. Neben der Zweiteilung des Verfahrens zwischen dem Scheidungsgericht und dem Sozialversicherungsgericht hat der Gesetzgeber nicht noch eine weitere Gabelung und Zersplitterung der richterlichen Zuständigkeit für die Teilung der Austrittsleistungen gewollt oder in Kauf genommen (bundesrätliche Botschaft, a.a.O., S. 111 und Amtl.Bull.1996 S 769 [Votum Berichterstatterin Beerli] sprechen denn auch von einer "Zweiteilung des Verfahrens").</w:t>
      </w:r>
    </w:p>
    <w:p>
      <w:r>
        <w:rPr>
          <w:b/>
        </w:rPr>
        <w:t>E. 3.4</w:t>
      </w:r>
    </w:p>
    <w:p>
      <w:r>
        <w:t>Demnach hat der Gesetzgeber mit Art. 25a FZG für die Teilung der Austrittsleistungen (samt Freizügigkeitsguthaben) die sachliche Zuständigkeit der Sozialversicherungsgerichte auch hinsichtlich der Freizügigkeitspolicen und Freizügigkeitskonti umfassend geregelt und auf alle Einrichtungen der beruflichen Vorsorge ausgedehnt. Dies übersehen das kantonale Gericht und die von ihm in der Vernehmlassung zitierten Äusserungen im Schrifttum (BAUMANN/ LAUTERBURG, a.a.O., N 7 ff. Vorbemerkungen zu Art. 141/ 142 ZGB; CHRISTIAN ZÜND, Besonderheiten des Verfahrens vor Sozialversicherungsgericht [u.a. Art. 142 ZGB ], in: Aktuelles im Sozialversicherungsrecht, Zürich 2001, S. 170 f.), welche sich zudem zu sehr an die bisherige Rechtsprechung (Erw. 3.1.3 hievor) anlehnen. Daran ändert auch der Hinweis auf die erste BVG-Revision nichts, BGE 130 V 111 S. 117 wonach die Zuständigkeit gemäss Art. 73 Abs. 1 lit. a BVG (in der Fassung vom 3. Oktober 2003) explizit auf Freizügigkeitseinrichtungen, die Freizügigkeitspolicen oder Freizügigkeitskonti führen, ausgedehnt worden ist (dazu ERIKA SCHNYDER, La première révision de la LPP, in: Les assurances sociales en révision, Lausanne 2002, S. 74 f.). Die hier zu beurteilende Konstellation der Teilung der Austrittsleistungen im Scheidungsfall betrifft lediglich einen Anwendungsfall von möglichen Streitigkeiten, die sich mit Freizügigkeitseinrichtungen ergeben können. Wesentlich ist, dass der (Scheidungs-)Gesetzgeber für die bei Ehescheidung zu teilenden Ansprüche aus der beruflichen Vorsorge in Art. 25a FZG bereits eine Regelung getroffen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