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IV 54</w:t>
      </w:r>
    </w:p>
    <w:p>
      <w:r>
        <w:t>Bundesgericht (BGE), 2004-04-22, FR</w:t>
      </w:r>
    </w:p>
    <w:p>
      <w:r>
        <w:rPr>
          <w:b/>
        </w:rPr>
        <w:t xml:space="preserve">Quelle: </w:t>
      </w:r>
      <w:r>
        <w:t>https://mcp.opencaselaw.ch/entscheid/bge_BGE_130_IV_54</w:t>
      </w:r>
    </w:p>
    <w:p>
      <w:r>
        <w:t>FR: ATF 130 IV 54</w:t>
      </w:r>
    </w:p>
    <w:p>
      <w:r>
        <w:t>IT: DTF 130 IV 54</w:t>
      </w:r>
    </w:p>
    <w:p>
      <w:pPr>
        <w:pStyle w:val="Heading2"/>
      </w:pPr>
      <w:r>
        <w:t>Regeste</w:t>
      </w:r>
    </w:p>
    <w:p>
      <w:r>
        <w:t>Regeste Art. 63 StGB, Art. 29 Abs. 1 BV und Art. 6 Ziff. 1 EMRK, Art. 269 BStP; Strafzumessung und Beschleunigungsgebot; Nichtigkeitsbeschwerde. Die Rüge, bei der Strafzumessung sei eine Verletzung des Beschleunigungsgebots zu Unrecht nicht berücksichtigt worden, ist mit der eidgenössischen Nichtigkeitsbeschwerde zu erheben, unabhängig davon, ob die kantonale Behörde eine Verletzung des Beschleunigungsgebots ausdrücklich bejaht oder verneint oder aber nicht geprüft hat. Das Bundesgericht prüft die Verletzung dieses Gebots im Verfahren der eidgenössischen Nichtigkeitsbeschwerde vorfrageweise zur Hauptfrage der Strafzumessung (E. 3.3.2).</w:t>
      </w:r>
    </w:p>
    <w:p>
      <w:r>
        <w:t>Regeste Art. 63 CP, art. 29 al. 1 Cst. et art. 6 par. 1 CEDH, art. 269 PPF; fixation de la peine et principe de la célérité; pourvoi en nullité. L'accusé qui entend se plaindre que l'autorité cantonale n'a pas tenu compte de la violation du principe de la célérité lors de la fixation de la peine doit agir par la voie du pourvoi en nullité, sans égard au fait que l'autorité cantonale ait expressément admis ou nié la violation du principe de la célérité ou qu'elle ait ignoré la question. Le Tribunal fédéral examinera ce point, dans le cadre du pourvoi, au titre de question préjudicielle à la question principale sur la fixation de la peine (consid. 3.3.2).</w:t>
      </w:r>
    </w:p>
    <w:p>
      <w:r>
        <w:t>Regesto Art. 63 CP, art. 29 cpv. 1 Cost. e art. 6 n. 1 CEDU, art. 269 PP; commisurazione della pena e principio della celerità; ricorso per cassazione. La censura della mancata considerazione del principio della celerità nella commisurazione della pena va sollevata con ricorso per cassazione, a prescindere dal fatto che l'autorità cantonale abbia ammesso o meno la violazione del principio della celerità oppure che ne abbia ignorato la questione. Il Tribunale federale esamina tale punto in via preliminare rispetto al giudizio principale sulla commisurazione della pena (consid. 3.3.2).</w:t>
      </w:r>
    </w:p>
    <w:p>
      <w:pPr>
        <w:pStyle w:val="Heading2"/>
      </w:pPr>
      <w:r>
        <w:t>Erwägungen</w:t>
      </w:r>
    </w:p>
    <w:p>
      <w:r>
        <w:rPr>
          <w:b/>
        </w:rPr>
        <w:t>E. 3.3</w:t>
      </w:r>
    </w:p>
    <w:p>
      <w:r>
        <w:t>Le recourant invoque enfin la violation du principe de la célérité consacré par les art. 29 al. 1 Cst. , 6 par. 1 CEDH et 14 par. 3 let. c Pacte ONU II (RS 0.103.2).</w:t>
      </w:r>
    </w:p>
    <w:p>
      <w:r>
        <w:rPr>
          <w:b/>
        </w:rPr>
        <w:t>E. 3.3.1</w:t>
      </w:r>
    </w:p>
    <w:p>
      <w:r>
        <w:t>Le principe de la célérité impose aux autorités, dès le moment où l'accusé est informé des soupçons qui pèsent sur lui, de mener la procédure pénale sans désemparer, afin de ne pas maintenir inutilement l'accusé dans les angoisses qu'elle suscite ( ATF 124 I 139 consid. 2a p. 140). Il s'agit d'une exigence posée à l'égard des autorités pénales, qui se distingue de la circonstance atténuante du BGE 130 IV 54 S. 55 temps relativement long (art. 64 avant-dernier al. CP), liée à l'approche de la prescription et qui suppose que l'accusé se soit bien comporté dans l'intervalle (WIPRÄCHTIGER, Basler Kommentar, Strafgesetzbuch I, 2003, n. 31 ad art. 64 CP ). Comme les retards dans la procédure pénale ne peuvent être guéris, le Tribunal fédéral a fait découler de la violation du principe de la célérité des conséquences sur le plan de la peine. Le plus souvent, la violation de ce principe conduira ainsi à une réduction de la peine, parfois même à la renonciation à toute peine ou encore à une ordonnance de non-lieu (en tant qu'ultima ratio dans des cas extrêmes; ATF 117 IV 124 consid. 4d p. 129; ATF 124 I 139 consid. 2a p. 140/141). La jurisprudence a ainsi créé praeter legem des sanctions autonomes de nature matérielle.</w:t>
      </w:r>
    </w:p>
    <w:p>
      <w:r>
        <w:rPr>
          <w:b/>
        </w:rPr>
        <w:t>E. 3.3.2</w:t>
      </w:r>
    </w:p>
    <w:p>
      <w:r>
        <w:t>Selon la jurisprudence, la question de savoir si le principe de la célérité a été violé, qui relève de la violation directe de la Constitution et de la CEDH, doit être invoquée dans un recours de droit public. En revanche, l'accusé qui veut se plaindre de ce que l'autorité cantonale n'a pas tiré les conséquences que le droit fédéral fait découler de la violation du principe de la célérité, en particulier sur le plan de la peine, doit agir par le biais du pourvoi en nullité, car la détermination des conséquences d'une violation du principe de la célérité sur l'interprétation et l'application du droit pénal fédéral relève d'une violation indirecte de la Constitution et de la Convention ( ATF 119 IV 107 consid. 1b p. 109; ATF 124 I 139 consid. 2a p. 141). Cette jurisprudence ne précise cependant pas si, dans le cadre du pourvoi, la Cour de cassation pénale du Tribunal fédéral peut se prononcer, à titre préjudiciel, sur la violation du principe de la célérité ou si le recourant doit déposer au préalable un recours de droit public pour faire constater cette violation si celle-ci n'a pas déjà été constatée par l'autorité cantonale. Dans l' ATF 119 IV 107 , le Tribunal fédéral a en effet examiné si la longueur de la procédure devait entraîner des sanctions particulières. Il n'est cependant pas entré en matière sur la question de savoir si l'autorité cantonale avait nié à tort la violation du principe de la célérité, question qui a été laissée ouverte dans un recours de droit public interjeté parallèlement (arrêt du Tribunal fédéral 6P.98/1992 du 19 mars 1993, consid. 3c). L'accusé peut certes obtenir la constatation simplement déclaratoire de la violation du principe de la célérité qui constitue déjà une BGE 130 IV 54 S. 56 forme de réparation ( ATF 129 V 411 consid. 1.3 p. 417; ATF 122 IV 103 consid. I.4 p. 111; arrêt du Tribunal fédéral du 23 octobre 2000, publié in Pra 90/2001 n° 3 p. 12, consid. 4e) ou demander des dommages-intérêts ( ATF 107 Ib 160 ), mais, en règle générale, le recourant qui fait grief à l'autorité cantonale d'avoir violé le principe de la célérité entend obtenir une réduction de la peine. Depuis une dizaine d'années, la violation du principe de la célérité est ainsi devenue, de fait, une circonstance atténuante de la peine à part entière. Vu les relations étroites qui existent entre la question de la violation du principe de la célérité et l'application de l' art. 63 CP , il apparaît dès lors inutilement compliqué, mais surtout artificiel, d'obliger l'accusé à déposer un recours de droit public pour faire constater la violation du principe de la célérité, puis un pourvoi pour obtenir une réduction de sa peine. Dans un tel cas, il faut admettre que la question de la violation du principe de la célérité puisse être traitée, dans le cadre d'un pourvoi, au titre de question préjudicielle à la question principale sur la fixation de la peine. L'accusé qui entend se plaindre que l'autorité cantonale n'a pas tenu compte de la violation du principe de la célérité lors de la fixation de la peine doit donc agir par la voie du pourvoi en nullité, sans égard au fait que l'autorité cantonale ait expressément admis ou nié la violation du principe de la célérité ou qu'elle ait ignoré la question (arrêt du Tribunal fédéral 6S.309/2001 du 23 août 2001). Il s'ensuit que le grief du recourant est recevable, même si l'autorité cantonale n'a pas constaté formellement que le principe de la célérité avait été violé.</w:t>
      </w:r>
    </w:p>
    <w:p>
      <w:r>
        <w:rPr>
          <w:b/>
        </w:rPr>
        <w:t>E. 3.3.3</w:t>
      </w:r>
    </w:p>
    <w:p>
      <w:r>
        <w:t>Le caractère raisonnable de la durée d'une procédure s'apprécie suivant les circonstances de la cause, lesquelles commandent généralement une évaluation globale, en tenant compte notamment de la complexité de l'affaire, du comportement de l'accusé et de celui des autorités compétentes ( ATF 124 I 139 consid. 2c p. 142 et les références citées). Comme on ne peut pas exiger de l'autorité pénale qu'elle s'occupe constamment d'une seule et unique affaire, il est inévitable qu'une procédure comporte quelques temps morts. Lorsqu'aucun d'eux n'est d'une durée vraiment choquante, c'est l'appréciation d'ensemble qui prévaut; des périodes d'activités intenses peuvent donc compenser le fait que le dossier a été laissé momentanément de côté en raison d'autres affaires ( ATF 124 I 139 consid. 2c p. 142). Selon la jurisprudence européenne, apparaissent comme des carences choquantes une inactivité de treize ou BGE 130 IV 54 S. 57 quatorze mois au stade de l'instruction, un délai de quatre ans pour qu'il soit statué sur un recours contre l'acte d'accusation, un délai de dix ou onze mois pour que le dossier soit transmis à l'autorité de recours ( ATF 124 I 139 consid. 2c p. 144; ATF 119 IV 107 consid. 1c p. 110). Le principe de la célérité peut être violé, même si les autorités pénales n'ont commis aucune faute; elles ne sauraient ainsi exciper des insuffisances de l'organisation judiciaire. Le recourant estime que son affaire, qui remonte à 2000, aurait dû globalement être jugée plus rapidement. Il se plaint notamment du fait qu'il a dû attendre le début 2003 pour être présenté aux juges de première instance, alors que les faits le concernant auraient été établis et reconnus déjà deux mois après l'ouverture de l'action pénale à son encontre. Cette critique est infondée. Le dossier est relativement volumineux. L'enquête a été dirigée contre cinq accusés, qui ont commis des infractions variées (brigandage, incendie, escroquerie, faux dans les titres, etc.) et dont les rôles sont étroitement liés. Au vu de ces circonstances, une durée de trois ans entre l'ouverture de l'instruction et le jugement de première instance, puis d'une année entre le jugement de première instance et le jugement sur appel ne prête pas le flanc à la critique. Infondé, le grief du recourant doit donc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