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329</w:t>
      </w:r>
    </w:p>
    <w:p>
      <w:r>
        <w:t>Bundesgericht (BGE), 2004-06-08, FR</w:t>
      </w:r>
    </w:p>
    <w:p>
      <w:r>
        <w:rPr>
          <w:b/>
        </w:rPr>
        <w:t xml:space="preserve">Quelle: </w:t>
      </w:r>
      <w:r>
        <w:t>https://mcp.opencaselaw.ch/entscheid/bge_BGE_130_II_329</w:t>
      </w:r>
    </w:p>
    <w:p>
      <w:r>
        <w:t>FR: ATF 130 II 329</w:t>
      </w:r>
    </w:p>
    <w:p>
      <w:r>
        <w:t>IT: DTF 130 II 329</w:t>
      </w:r>
    </w:p>
    <w:p>
      <w:pPr>
        <w:pStyle w:val="Heading2"/>
      </w:pPr>
      <w:r>
        <w:t>Regeste</w:t>
      </w:r>
    </w:p>
    <w:p>
      <w:r>
        <w:t>Regeste Internationale Rechtshilfe in Strafsachen; Beschwerde gegen die Beschlagnahmeverfügung; Art. 80e lit. b Ziff. 1 IRSG. Begriff des unmittelbaren und nicht wieder gut zu machenden Nachteils im Sinne von Art. 80e lit. b Ziff. 1 IRSG (E. 2). Prüfungsbefugnis des Bundesgerichts, wenn es auf eine Beschwerde gegen eine Zwischenverfügung im Sinne von Art. 80e lit. b IRSG eintritt (E. 3). Im vorliegenden Fall verlangte der ersuchende Staat die strittige Beschlagnahme (E. 4). Ihr Gegenstand steht indessen mit den verfolgten Delikten nicht in einem ausreichend engen Zusammenhang (E. 5). Sie ist im Übrigen unverhältnismässig (E. 6).</w:t>
      </w:r>
    </w:p>
    <w:p>
      <w:r>
        <w:t>Regeste Entraide judiciaire internationale en matière pénale; recours contre la décision de séquestre; art. 80e let. b ch. 1 EIMP. Notion du préjudice immédiat et irréparable au sens de l'art. 80e let. b ch. 1 EIMP (consid. 2). Pouvoir d'examen du Tribunal fédéral lorsqu'il entre en matière sur un recours dirigé contre une décision incidente au sens de l'art. 80e let. b EIMP (consid. 3). En l'occurrence, le séquestre litigieux a été demandé par l'Etat requérant (consid. 4). Son objet n'est toutefois pas dans un rapport suffisamment étroit avec les faits poursuivis (consid. 5). Il est en outre disproportionné (consid. 6).</w:t>
      </w:r>
    </w:p>
    <w:p>
      <w:r>
        <w:t>Regesto Assistenza giudiziaria internazionale in materia penale; ricorso contro la decisione di sequestro; art. 80e lett. b cifra 1 AIMP. Nozione di pregiudizio immediato e irreparabile ai sensi dell'art. 80e lett. b cifra 1 AIMP (consid. 2). Potere d'esame del Tribunale federale quando entra nel merito di un ricorso diretto contro una decisione incidentale ai sensi dell'art. 80e lett. b AIMP (consid. 3). In concreto, il sequestro litigioso è stato domandato dallo Stato richiedente (consid. 4). Il suo oggetto non sta tuttavia in un rapporto sufficientemente stretto con i fatti perseguiti (consid. 5). Esso è, d'altra parte, sproporzionato (consid. 6).</w:t>
      </w:r>
    </w:p>
    <w:p>
      <w:pPr>
        <w:pStyle w:val="Heading2"/>
      </w:pPr>
      <w:r>
        <w:t>Erwägungen</w:t>
      </w:r>
    </w:p>
    <w:p>
      <w:r>
        <w:rPr>
          <w:b/>
        </w:rPr>
        <w:t>E. 2</w:t>
      </w:r>
    </w:p>
    <w:p>
      <w:r>
        <w:t>Aux termes de l'art. 80e let. b ch. 1 de la loi fédérale du 20 mars 1991 sur l'entraide internationale en matière pénale (EIMP; RS 351.1),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 La recourante est une filiale de Menatep. Elle est titulaire du compte n° g, ouvert le 29 novembre 2002, et dont notamment Khodorkovski et Lebedev sont les ayants droit. En 2003, Yukos a envisagé une fusion avec la société russe J. Pour le financement de cette opération, Yukos a emprunté à la banque Q. à Paris un montant de 1'600'000'000 USD, aux termes d'un contrat passé le 30 septembre 2003 (ch. 2.1 du contrat). Le 3 octobre 2003, la recourante a confié à la banque U. le mandat de fournir à la banque Q. un montant "collatéral" équivalent à celui du prêt accordé ( art. 2 let . c du contrat). L'exécution de ce mandat a fait l'objet de trois accords entre la banque Q. et la banque U. ("Risk Participation Agreement", "Deed of Indemnity" et "Charge Over Deposit Accounts"), sur la base desquels la banque U. a remis à la banque Q. le montant convenu de 1'600'000'000 USD. Comme garantie, la BGE 130 II 329 S. 333 recourante a versé sur le compte n° g un montant total de 1'757'350'000 USD (art. 3 let. b du contrat), qui correspond à celui faisant l'objet de la saisie contestée. Au titre du dommage immédiat et irréparable, la recourante expose que l'immobilisation du montant saisi l'oblige à payer à la banque U., selon l'art. 26 let. b du contrat du 3 octobre 2003, une rémunération annuelle de 26'121'657.50 USD qu'au demeurant le séquestre l'empêcherait d'honorer. A cela s'ajouterait que l'impossibilité de mettre à disposition le montant saisi pourrait amener la banque U. et la banque Q. à réaliser les droits de gage qu'elles détiennent, selon les accords passés entre elles (cf. art. 2 du Risk Participation Agreement et 9 du Charge Over Deposit Accounts). Le Ministère public et l'Office fédéral objectent qu'il s'agit là d'une simple hypothèse, de sorte que le danger redouté ne serait pas immédiat. Cet argument n'est pas déterminant. Le préjudice au sens de l' art. 80e let. b EIMP ne doit pas nécessairement être réalisé pour être immédiat. Si de simples conjectures ou hypothèses ne démontrent pas ce caractère, une perspective sérieuse et rapprochée peut suffire. En l'occurrence, sur le vu des accords passés entre la recourante, la banque Q. et la banque U., il existe un risque concret et sérieux que la recourante ne puisse récupérer le montant saisi, si le séquestre devait perdurer. A ce propos, le Ministère public semble considérer la possibilité d'une remise ultérieure des fonds, en vue de leur confiscation ou restitution dans l'Etat requérant (cf. art. 74a EIMP ). Or, une telle perspective n'est pas envisageable à bref délai. Compte tenu de cette circonstance particulière, la condition du préjudice immédiat et irréparable au sens de l' art. 80e let. b ch. 1 EIMP doit être tenue pour remplie.</w:t>
      </w:r>
    </w:p>
    <w:p>
      <w:r>
        <w:rPr>
          <w:b/>
        </w:rPr>
        <w:t>E. 3</w:t>
      </w:r>
    </w:p>
    <w:p>
      <w:r>
        <w:t>Lorsqu'il entre en matière exceptionnellement sur un recours dirigé contre une décision incidente, le Tribunal fédéral se borne à examiner le bien-fondé de la mesure contestée. Il ne lui appartient pas de vérifier si la demande d'entraide doit être admise, point qui ne peut être résolu qu'avec le prononcé de la décision de clôture (arrêt 1A.195/1999 du 29 septembre 1999, consid. 2e). Lorsque la décision attaquée autorise la présence d'agents étrangers lors de l'exécution de la demande d'entraide ( art. 80e let. b ch. 2 EIMP ), l'intérêt à prendre en compte est lié à la protection du principe de spécialité et à la sauvegarde de la procédure d'entraide. Il s'agit d'éviter que l'autorité étrangère ne prenne connaissance d'informations ou de renseignements avant l'entrée en force de la décision de BGE 130 II 329 S. 334 clôture, ou que ces informations ou renseignements ne parviennent à une autorité étrangère non autorisée ou conduisant une enquête pour les besoins de laquelle l'entraide ne peut être accordée. Lorsque la décision attaquée porte, comme en l'espèce, sur la saisie d'avoirs déposés sur un compte bancaire ( art. 80e let. b ch. 1 EIMP ), l'intérêt à prendre en compte est lié au respect du principe de la proportionnalité. Il s'agit d'éviter que le séquestre ne porte sur des fonds étrangers à l'objet de la demande ou hors de proportion avec celui-ci. En d'autres termes, l'autorité qui entre en matière sur la demande et, en exécution de celle-ci, ordonne un séquestre, doit vérifier que cette mesure de contrainte est réclamée par l'Etat requérant, qu'elle se trouve dans un rapport suffisamment étroit avec les faits exposés dans la demande et qu'elle n'est pas manifestement disproportionnée par rapport à l'objet de celle-ci. Elle rend à ce propos une décision sommairement motivée ( art. 80a EIMP ).</w:t>
      </w:r>
    </w:p>
    <w:p>
      <w:r>
        <w:rPr>
          <w:b/>
        </w:rPr>
        <w:t>E. 4</w:t>
      </w:r>
    </w:p>
    <w:p>
      <w:r>
        <w:t>Selon le complément du 18 novembre 2003, les autorités requérantes ont expressément demandé la remise des documents relatifs aux mouvements opérés sur le compte n° g. Elles ont communiqué au Ministère public une décision rendue le 12 mars 2004 par le juge du district de Basmany de la ville de Moscou, ordonnant la saisie du compte litigieux. En rendant la décision attaquée, le Ministère public s'est conformé à la mission confiée par l'Etat requérant.</w:t>
      </w:r>
    </w:p>
    <w:p>
      <w:r>
        <w:rPr>
          <w:b/>
        </w:rPr>
        <w:t>E. 5</w:t>
      </w:r>
    </w:p>
    <w:p>
      <w:r>
        <w:t>A l'instar de ce qui prévaut pour les mesures provisoires, le prononcé d'une décision incidente portant sur la saisie de fonds est possible même si, à ce stade de la procédure, toutes les conditions d'octroi de l'entraide ne sont pas encore remplies; une mesure de contrainte, telle qu'un séquestre, n'est refusée que si les prétentions de l'Etat requérant sont manifestement mal fondées (cf. ATF 123 II 268 consid. 4b/dd p. 276/277, et ATF 116 Ib 96 consid. 3a p. 99-101, concernant l' art. 18 EIMP ).</w:t>
      </w:r>
    </w:p>
    <w:p>
      <w:r>
        <w:rPr>
          <w:b/>
        </w:rPr>
        <w:t>E. 5.1</w:t>
      </w:r>
    </w:p>
    <w:p>
      <w:r>
        <w:t>De la demande et de ses compléments, il ne ressort pas que la recourante aurait joué un rôle quelconque dans les opérations qui sont à l'origine de la demande - soit l'acquisition frauduleuse du capital-actions de A., ainsi que la vente d'engrais et de pétrole à des sociétés suisses dominées par Menatep, à un prix trop bas. Les autorités russes demandent la remise de la documentation relative au compte litigieux et la saisie des fonds déposés sur celui-ci, parce qu'elles soupçonnent la recourante, filiale du groupe Menatep, BGE 130 II 329 S. 335 d'avoir servi au blanchiment du produit des infractions mises à la charge de Khodorkovski et consorts (cf. notamment le complément du 18 novembre 2003 et l'ordonnance de saisie du 12 mars 2004). A cet égard, la recourante expose que les fonds saisis avaient été réunis et transférés auprès d'elle afin de garantir le financement de l'opération de fusion de Yukos et J. Elle fait valoir, pièces à l'appui, que ces fonds proviendraient de la vente d'actions de Yukos et de dividendes. Cette affirmation mérite d'être vérifiée. Il conviendra notamment d'éclaircir le cheminement des fonds entre les différentes sociétés du groupe Menatep. En l'état, les conditions d'une remise de la documentation relative au compte n° g ne sont manifestement pas réunies. Faute d'indications à ce propos, l'autorité requise se trouve en effet dans l'impossibilité de déterminer, même de la manière la plus ténue, en quoi les fonds saisis représenteraient le produit des opérations liées à l'acquisition de A. ou à la vente d'engrais et de pétrole. Or, si la demande étrangère présentée pour les besoins de la répression de faits de blanchiment ne doit pas nécessairement contenir la preuve de la commission de ce délit ou de l'infraction principale, et souffre de se limiter à faire état de transactions suspectes ( ATF 129 II 97 ), l'Etat requérant ne peut cependant se contenter de produire une simple liste de personnes recherchées et des montants détournés; il lui faut joindre des éléments propres à démontrer, au moins à première vue, que les comptes dont le séquestre est demandé ont effectivement servi au transfert des fonds dont on soupçonne l'origine délictueuse (arrêt 1A.32/2000 du 19 juin 2000, consid. 3a non publié à l' ATF 126 II 258 ; arrêt 1A.70/1999 du 25 juin 1999, consid. 6a non publié à l' ATF 125 II 356 ; cf. par exemple l'arrêt 1A.267/2003 du 14 janvier 2004). Le dossier ne contient aucun élément suffisant à ce propos. Il appartiendra au Ministère public d'inviter l'Etat requérant à remédier au défaut qui affecte la demande. La question de savoir si le séquestre pourrait être maintenu dans l'intervalle ne se pose pas en l'occurrence, car la mesure contestée doit de toute manière être levée au regard du principe de la proportionnalité (consid. 6 ci-dessous).</w:t>
      </w:r>
    </w:p>
    <w:p>
      <w:r>
        <w:rPr>
          <w:b/>
        </w:rPr>
        <w:t>E. 5.2</w:t>
      </w:r>
    </w:p>
    <w:p>
      <w:r>
        <w:t>Dans ses observations du 29 avril 2004, le Ministère public semble défendre le point de vue que les fonds litigieux pourraient être confisqués ultérieurement au titre de la créance compensatrice au sens de l' art. 59 ch. 3 CP . Cette affirmation - dont il n'y a pas lieu d'examiner le bien-fondé - suscite toutefois un certain doute quant au fait que le compte de la recourante ait pu servir au b BGE 130 II 329 S. 336 lan chiment du produit des délits pour lesquels l'entraide est demandée. Quant à l'Office fédéral, il émet l'avis que les dispositions de la Convention du 8 novembre 1990 relative au blanchiment, au dépistage, à la saisie et à la confiscation des produits du crime (CBl; RS 0.311.53) imposeraient le maintien du séquestre. Dans ses observations du 27 avril 2004, il fait valoir que selon l' art. 11 par. 1 CBl , l'Etat requis est tenu de prendre les mesures provisoires qui s'imposent, notamment la saisie, pour prévenir toute opération, transfert ou aliénation relativement à un bien qui pourrait faire l'objet par la suite d'une confiscation. Il convient de relever toutefois que les mesures au sens de l' art. 11 CBl sont exécutées selon le droit de l'Etat requis ( art. 12 par. 1 CBl ) soit, en l'occurrence, les principes développés dans la jurisprudence et rappelés ci-dessus. Au demeurant, la CBl n'a pas pour effet que des décisions de saisie, ordonnées dans l'Etat requérant à l'appui d'une demande d'entraide fondée sur cette Convention, s'appliqueraient en Suisse automatiquement et sans contrôle de la conformité au droit interne de la mesure réclamée.</w:t>
      </w:r>
    </w:p>
    <w:p>
      <w:r>
        <w:rPr>
          <w:b/>
        </w:rPr>
        <w:t>E. 6</w:t>
      </w:r>
    </w:p>
    <w:p>
      <w:r>
        <w:t>En vertu du principe de la proportionnalité qui s'applique à tous les stades de la procédure d'entraide, l'étendue du séquestre doit rester en rapport avec le produit de l'infraction poursuivie. Cette exigence résulte également de l' art. 27 par. 2 CBl , à teneur duquel lorsqu'une demande de mesures provisoires vise la saisie d'un bien qui pourrait faire l'objet d'une décision de confiscation consistant en l'obligation de payer une somme d'argent, cette demande doit aussi indiquer la somme maximale que l'on cherche à récupérer sur ce bien. La décision de saisie rendue le 12 mars 2004 par le juge du district de Basmany indique que le dommage subi à raison des manoeuvres frauduleuses entourant l'acquisition du capital de A. auraient causé un dommage de 283'142'000 USD. Dans le même contexte de fait, des plaignants auraient émis des prétentions civiles pour un montant total de 127'000'000'000 RUR, qui se rapproche du montant total des séquestres ordonnés en Suisse par le Ministère public, soit 6'200'000'000 CHF environ. La demande et ses compléments ne contiennent toutefois aucun élément permettant de déterminer, même de manière minimale, la cause, la nature et l'étendue d'un dommage aussi considérable, qui serait de nature à justifier le prononcé du séquestre contesté. BGE 130 II 329 S. 337 Bien fondé à cet égard, le recours doit être admis et la décision attaquée annulée. Il n'est pas exclu, de prime abord, que le Ministère public puisse prendre ultérieurement une autre mesure de contrainte. Cela présupposerait toutefois que les incertitudes relatives à l'exposé des faits poursuivis soient dissipées.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