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652</w:t>
      </w:r>
    </w:p>
    <w:p>
      <w:r>
        <w:t>Bundesgericht (BGE), 2004-08-26, DE</w:t>
      </w:r>
    </w:p>
    <w:p>
      <w:r>
        <w:rPr>
          <w:b/>
        </w:rPr>
        <w:t xml:space="preserve">Quelle: </w:t>
      </w:r>
      <w:r>
        <w:t>https://mcp.opencaselaw.ch/entscheid/bge_BGE_130_III_652</w:t>
      </w:r>
    </w:p>
    <w:p>
      <w:r>
        <w:t>FR: ATF 130 III 652</w:t>
      </w:r>
    </w:p>
    <w:p>
      <w:r>
        <w:t>IT: DTF 130 III 652</w:t>
      </w:r>
    </w:p>
    <w:p>
      <w:pPr>
        <w:pStyle w:val="Heading2"/>
      </w:pPr>
      <w:r>
        <w:t>Regeste</w:t>
      </w:r>
    </w:p>
    <w:p>
      <w:r>
        <w:t>Regeste Fortsetzungsbegehren (Art. 88 SchKG); Verarrestierung und Pfändung eines Erbanteils des Schuldners (Art. 1, 6 und 12 der Verordnung über die Pfändung und Verwertung von Anteilen an Gemeinschaftsvermögen; Art. 609 ZGB). Die Pfändung gestützt auf ein zu früh einlangendes Fortsetzungsbegehren ist nicht nichtig (E. 2.1). Der Erbanteil des Schuldners kann gepfändet werden, auch wenn der Schuldner und die Miterben behaupten, die seit der Verarrestierung durchgeführte Erbteilung habe für den Schuldner keinen Aktivwert ergeben. Die Betreibungsbehörden können nicht darüber entscheiden, ob dem Schuldner etwas aus der Erbteilung zustehe (E. 2.2 und 2.3).</w:t>
      </w:r>
    </w:p>
    <w:p>
      <w:r>
        <w:t>Regeste Réquisition de continuer la poursuite (art. 88 LP); séquestre et saisie d'une part du débiteur dans une succession (art. 1, 6 et 12 de l'ordonnance concernant la saisie et la réalisation de parts de communautés; art. 609 CC). La saisie fondée sur une réquisition de continuer la poursuite déposée trop tôt n'est pas nulle (consid. 2.1). La part du débiteur dans une succession peut être saisie même si le débiteur et ses cohéritiers prétendent que les opérations de partage de la succession depuis le séquestre n'ont révélé aucun actif en faveur du débiteur. Il n'appartient pas aux autorités de poursuite de trancher la question de savoir s'il revient quelque chose au débiteur dans le partage de la succession (consid. 2.2 et 2.3).</w:t>
      </w:r>
    </w:p>
    <w:p>
      <w:r>
        <w:t>Regesto Domanda di continuazione dell'esecuzione (art. 88 LEF); sequestro e pignoramento di una quota ereditaria del debitore (art. 1, 6 e 12 del regolamento concernente il pignoramento e la realizzazione di diritti in comunione; art. 609 CC). Il pignoramento fondato su una domanda di continuazione dell'esecuzione depositata troppo presto non è nullo (consid. 2.1). La quota ereditaria del debitore può essere pignorata anche qualora il debitore e i coeredi affermino che dalla divisione effettuata dopo il sequestro non risulta alcun attivo per il debitore. Le autorità di esecuzione non possono decidere se al debitore spetta qualcosa dalla divisione dell'eredità (consid. 2.2 e 2.3).</w:t>
      </w:r>
    </w:p>
    <w:p>
      <w:pPr>
        <w:pStyle w:val="Heading2"/>
      </w:pPr>
      <w:r>
        <w:t>Erwägungen</w:t>
      </w:r>
    </w:p>
    <w:p>
      <w:r>
        <w:rPr>
          <w:b/>
        </w:rPr>
        <w:t>E. 2</w:t>
      </w:r>
    </w:p>
    <w:p>
      <w:r>
        <w:t>Die Aufsichtsbehörde hat festgehalten, es könne offen gelassen werden, ob der Arrest überhaupt rechtzeitig mit Einleitung der Betreibung gemäss Art. 279 Abs. 1 SchKG prosequiert worden sei, d.h. ob überhaupt ein Arrestbeschlag bestehe. Das Begehren um Fortsetzung der Betreibung nach Art. 279 Abs. 3 SchKG sei wohl verfrüht gestellt worden; dies habe indessen keine Nichtigkeit der Pfändung zur Folge. Allerdings sei "der Arrest ins Leere gefallen" und kein Pfändungssubstrat vorhanden. Dabei hat die Aufsichtsbehörde auf den Erbteilungsvertrag vom 18. November 2003 verwiesen, welcher der Beschwerdegegner mit seinen Miterben abgeschlossen hat. Daraus geht hervor, dass dem Beschwerdegegner ein Erbteil von Fr. 13'976.- zugewiesen wird und die Miterbin W. für diese Forderung Verrechnung mit einer Forderung aus einem Darlehen erklärt, so dass der Beschwerdegegner aus der Erbteilung nichts erhält. Der Beschwerdeführer hält demgegenüber fest, dass er den Arrest mit Betreibungsbegehren vom 2. Oktober 2003 rechtzeitig prosequiert habe und das Betreibungsamt beim Pfändungsvollzug nicht auf den Erbvertrag hätte abstellen dürfen. Er macht im Wesentlichen geltend, der Beschwerdegegner habe zu Unrecht über den verarrestierten Liquidationsanspruch an der Erbschaft verfügt und der Erbteilungsvertrag sei ohne Wirkung, ebenso die Verrechnungserklärung der Miterbin. Von fehlendem pfändbarem Arrestsubstrat und einer leeren Pfändung könne nicht gesprochen werden, da dem Beschwerdegegner aus dem Erbvertrag Fr. 13'976.- zugeteilt würden und ihm vermutlich noch mehr zustehe. BGE 130 III 652 S. 655</w:t>
      </w:r>
    </w:p>
    <w:p>
      <w:r>
        <w:rPr>
          <w:b/>
        </w:rPr>
        <w:t>E. 2.1</w:t>
      </w:r>
    </w:p>
    <w:p>
      <w:r>
        <w:t>Die Aufsichtsbehörde hat zunächst festgehalten, dass das Betreibungsamt dem Fortsetzungsbegehren vom 5. November 2003 nicht hätte Folge leisten dürfen, weil dieses frühestens am 14. November 2003 hätte gestellt werden können. Sie hat indessen die Nichtigkeit der Pfändung, auf welche sich der Beschwerdegegner berufen hatte, verneint. Diese Auffassung ist nicht zu beanstanden. Eine Verletzung von Vorschriften im Sinne von Art. 22 Abs. 1 SchKG steht nicht in Rede. Anders als im Fall der Pfändung, die von einem örtlich unzuständigen Betreibungsamt vorgenommen wird und daher nichtig ist ( BGE 105 III 60 E. 1 S. 61; BGE 91 III 47 E. 3 S. 49), können sich Dritte beim zuständigen Betreibungsamt über das Bestehen einer Pfändung erkundigen. Wenn einem verfrühten und daher fehlerhaften Fortsetzungsbegehren Folge geleistet wird, können die Gläubiger Beschwerde führen (JENT-SØRENSEN, in: Kommentar zum Bundesgesetz über Schuldbetreibung und Konkurs, N. 22 zu Art. 110 SchKG ; vgl. ferner Art. 9 Abs. 3 der Verordnung über die im Betreibungs- und Konkursverfahren zu verwendenden Formulare und Register sowie die Rechnungsführung [SR 281.31] betreffend Begehren, die höchstens zwei Tage zu früh einlangen). Der Hinweis des Beschwerdegegners, die Pfändung sei nichtig, geht daher fehl.</w:t>
      </w:r>
    </w:p>
    <w:p>
      <w:r>
        <w:rPr>
          <w:b/>
        </w:rPr>
        <w:t>E. 2.2</w:t>
      </w:r>
    </w:p>
    <w:p>
      <w:r>
        <w:t>Nach den Sachverhaltsfeststellungen der Vorinstanz (Art. 63 Abs. 2 i.V.m. Art. 81 OG ) hat das Betreibungsamt den Erbanteil des Beschwerdegegners am 22. September 2003 verarrestiert. Sodann haben der Beschwerdegegner und seine Miterben mit Vertrag vom 18. November 2003 ihre Erbschaft offenbar geteilt. Zur Zeit des Arrestvollzuges hat also die Erbengemeinschaft noch bestanden.</w:t>
      </w:r>
    </w:p>
    <w:p>
      <w:r>
        <w:rPr>
          <w:b/>
        </w:rPr>
        <w:t>E. 2.2.1</w:t>
      </w:r>
    </w:p>
    <w:p>
      <w:r>
        <w:t>Für die Verarrestierung des Erbanteils ist die Verordnung des Bundesgerichts vom 17. Januar 1923 über die Pfändung und Verwertung von Anteilen an Gemeinschaftsvermögen (VVAG; SR 281.41) massgebend ( BGE 118 III 62 E. 2c S. 66). Wäre es zulässig, dass die Erben trotz Verarrestierung des Erbanteils selbständig und auch für die Gläubiger des betriebenen Miterben verbindlich teilen könnten, wären sie damit ohne weiteres in der Lage, die Behörde gemäss Art. 609 ZGB auszuschalten und damit den Schutzzweck, welcher deren Mitwirkung für die Gläubiger haben soll, zu vereiteln (BISANG, Die Zwangsverwertung von Anteilen an Gesamthandschaften, Diss. Zürich 1978, S. 135). Dies wollen Art. 6 und Art. 12 VVAG verhüten. Nach der Rechtsprechung können denn auch weder der Schuldner persönlich, noch an seiner Stelle das BGE 130 III 652 S. 656 Betreibungsamt mit verbindlicher Wirkung für die Gläubiger der Teilung zustimmen ( BGE 61 III 160 S. 163 betreffend Erbteilung nach Verarrestierung des Erbanteils; BGE 71 III 99 E. 2 S. 103). Wollen die Erben schon vor dem Verwertungsstadium von sich aus zur Teilung schreiten, so haben sie dies dem Betreibungsamt zu melden, welches an die zuständige Behörde zu gelangen hat, damit diese mitwirke (Urteil des Bundesgerichts vom 6. November 1947, E. 1, BlSchK 1948 S. 153).</w:t>
      </w:r>
    </w:p>
    <w:p>
      <w:r>
        <w:rPr>
          <w:b/>
        </w:rPr>
        <w:t>E. 2.2.2</w:t>
      </w:r>
    </w:p>
    <w:p>
      <w:r>
        <w:t>Im vorliegenden Fall hat die zuständige Behörde unbestrittenermassen an der Erbteilung nicht mitgewirkt. Ist aber die nach dem Arrest ohne Mitwirkung der Behörde vorgenommene Teilung für die Gläubiger nicht bindend (vgl. TUOR/PICENONI, Berner Kommentar, N. 8 u. 14 zu Art. 609 ZGB ), kann sie auch nicht bewirken, dass der Erbteil aus dem Arrest fällt (BISANG, a.a.O.). Bestreiten der Schuldner oder die Miterben, dass dem Schuldner aus der nach dem Arrest vollzogenen Erbteilung etwas zustehe, so bleibt nach der Rechtsprechung als Arrestsubstrat der nun als bestritten geltende Liquidationsanteil ( BGE 61 III 160 S. 162 f.; 87 III 106 E. 1 S. 108 betreffend Erbteilung nach Pfändung des Erbanteils), m.a.W. der Erbanteil existiert als Arrestsubstrat weiter und kann gepfändet werden (für das weitere Vorgehen vgl. BGE 61 III 95 ). Die Betreibungsbehörden sind nicht zuständig für die Beurteilung materiell-rechtlicher Fragen und dürfen daher nicht über die Höhe eines Anteils am Gemeinschaftsvermögen oder andere Einwendungen des Schuldners oder beteiligter Drittpersonen entscheiden ( BGE 61 III 160 S. 162; 87 III 106 E. 1 S. 108; 113 III 40 E. 3b S. 42). Der Beschwerdeführer rügt daher zu Recht, dass sich die Aufsichtsbehörde darüber ausgesprochen hat, ob dem Beschwerdegegner aus dem Erbteilungsvertrag etwas zustehe. Wenn die Aufsichtsbehörde vor diesem Hintergrund zum Ergebnis gelangt ist, es gebe kein Arrestsubstrat, das nach wirksamer Fortsetzung der Arrestprosequierungsbetreibung mit Pfändung beschlagen werden könne, und angenommen hat, es könne offen bleiben, ob ein Arrestbeschlag am Erbanteil überhaupt bestehe, verletzt dies Bundesrecht.</w:t>
      </w:r>
    </w:p>
    <w:p>
      <w:r>
        <w:rPr>
          <w:b/>
        </w:rPr>
        <w:t>E. 2.3</w:t>
      </w:r>
    </w:p>
    <w:p>
      <w:r>
        <w:t>Nach dem Dargelegten erweist sich die rechtzeitige Einleitung der Prosequierungsbetreibung, mithin das Bestehen des Arrestbeschlages ( Art. 280 SchKG ; BGE 106 III 92 E. 2 S. 93) als rechtlich erhebliche Tatsache, welche von der Aufsichtsbehörde zu Unrecht nicht von Amtes wegen erhoben worden ist (vgl. Art. 20a Abs. 2 Ziff. 2 SchKG ). Der angefochtene Entscheid ist daher in BGE 130 III 652 S. 657 Gutheissung der Beschwerde aufzuheben, und die Sache ist an die Vorinstanz zur Erhebung des rechtserheblichen Sachverhaltes (Feststellung der Rechtzeitigkeit der Einleitung der Prosequierungsbetreibung) und zu neuer Entscheidung zurückzuweisen (Art. 64 Abs. 1 i.V.m. Art. 81 OG ). Erweist sich die Einleitung der Arrestprosequierungsbetreibung als rechtzeitig, besteht der bestrittene Liquidationsanteil des Beschwerdegegners an der Erbschaft als Arrestsubstrat, welcher mit Pfändung beschlagen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